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08276">
      <w:pPr>
        <w:pStyle w:val="3"/>
        <w:keepNext w:val="0"/>
        <w:keepLines w:val="0"/>
        <w:widowControl/>
        <w:suppressLineNumbers w:val="0"/>
        <w:jc w:val="center"/>
      </w:pPr>
      <w:bookmarkStart w:id="0" w:name="_GoBack"/>
      <w:r>
        <w:rPr>
          <w:rFonts w:ascii="方正小标宋简体" w:hAnsi="方正小标宋简体" w:eastAsia="方正小标宋简体" w:cs="方正小标宋简体"/>
          <w:spacing w:val="0"/>
          <w:sz w:val="43"/>
          <w:szCs w:val="43"/>
        </w:rPr>
        <w:t>宝鸡市</w:t>
      </w:r>
      <w:r>
        <w:rPr>
          <w:rFonts w:hint="eastAsia" w:ascii="方正小标宋简体" w:hAnsi="方正小标宋简体" w:eastAsia="方正小标宋简体" w:cs="方正小标宋简体"/>
          <w:spacing w:val="0"/>
          <w:sz w:val="43"/>
          <w:szCs w:val="43"/>
        </w:rPr>
        <w:t>2026年国民经济和社会发展计划</w:t>
      </w:r>
    </w:p>
    <w:bookmarkEnd w:id="0"/>
    <w:p w14:paraId="7A951ED0">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Fonts w:ascii="黑体" w:hAnsi="宋体" w:eastAsia="黑体" w:cs="黑体"/>
          <w:spacing w:val="0"/>
          <w:sz w:val="31"/>
          <w:szCs w:val="31"/>
        </w:rPr>
        <w:t>一、总体要求</w:t>
      </w:r>
    </w:p>
    <w:p w14:paraId="32D6C9A9">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Fonts w:ascii="仿宋_GB2312" w:eastAsia="仿宋_GB2312" w:cs="仿宋_GB2312"/>
          <w:spacing w:val="0"/>
          <w:sz w:val="31"/>
          <w:szCs w:val="31"/>
        </w:rPr>
        <w:t>坚持以习近平新时代中国特色社会主义思想为指导，全面贯彻党的二十大和二十届历次全会精神，贯通落实习近平总书记来陕和来宝考察重要讲话重要指示，按照中央经济工作会议和省、市委全会暨经济工作会议部署，深化开展</w:t>
      </w:r>
      <w:r>
        <w:rPr>
          <w:rFonts w:hint="eastAsia" w:ascii="仿宋_GB2312" w:eastAsia="仿宋_GB2312" w:cs="仿宋_GB2312"/>
          <w:spacing w:val="0"/>
          <w:sz w:val="31"/>
          <w:szCs w:val="31"/>
        </w:rPr>
        <w:t>“三个年”活动、深入打好“八场硬仗”，大力发展县域经济、民营经济、开放型经济、数字经济，持续扩大内需、优化供给，做优增量、盘活存量，持续防范化解重点领域风险，着力稳就业、稳企业、稳市场、稳预期，推动经济实现质的有效提升和量的合理增长，保持社会和谐稳定，确保“十五五”开好局、起好步。</w:t>
      </w:r>
    </w:p>
    <w:p w14:paraId="05AB241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Fonts w:hint="eastAsia" w:ascii="黑体" w:hAnsi="宋体" w:eastAsia="黑体" w:cs="黑体"/>
          <w:spacing w:val="0"/>
          <w:sz w:val="31"/>
          <w:szCs w:val="31"/>
        </w:rPr>
        <w:t>二、预期目标</w:t>
      </w:r>
    </w:p>
    <w:p w14:paraId="70E9C0C4">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Fonts w:hint="eastAsia" w:ascii="仿宋_GB2312" w:eastAsia="仿宋_GB2312" w:cs="仿宋_GB2312"/>
          <w:spacing w:val="0"/>
          <w:sz w:val="31"/>
          <w:szCs w:val="31"/>
        </w:rPr>
        <w:t>地区生产总值增长5.5%左右，规模以上工业增加值增长7.5%，固定资产投资增长6%，社会消费品零售总额增长6%，城乡居民人均可支配收入分别增长5%和6.5%，粮食生产、单位生产总值二氧化碳减排完成省上下达任务。</w:t>
      </w:r>
    </w:p>
    <w:p w14:paraId="37984C3F">
      <w:pPr>
        <w:pStyle w:val="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pPr>
      <w:r>
        <w:rPr>
          <w:rFonts w:hint="eastAsia" w:ascii="黑体" w:hAnsi="宋体" w:eastAsia="黑体" w:cs="黑体"/>
          <w:spacing w:val="0"/>
          <w:sz w:val="31"/>
          <w:szCs w:val="31"/>
        </w:rPr>
        <w:t>三、主要任务</w:t>
      </w:r>
    </w:p>
    <w:p w14:paraId="2ACE85A6">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Style w:val="6"/>
          <w:rFonts w:ascii="楷体_GB2312" w:eastAsia="楷体_GB2312" w:cs="楷体_GB2312"/>
          <w:spacing w:val="0"/>
          <w:sz w:val="31"/>
          <w:szCs w:val="31"/>
        </w:rPr>
        <w:t>（一）坚持创新驱动，聚力培育产业优势。</w:t>
      </w:r>
      <w:r>
        <w:rPr>
          <w:rFonts w:hint="eastAsia" w:ascii="仿宋_GB2312" w:eastAsia="仿宋_GB2312" w:cs="仿宋_GB2312"/>
          <w:spacing w:val="0"/>
          <w:sz w:val="31"/>
          <w:szCs w:val="31"/>
        </w:rPr>
        <w:t>深化科技创新。扎实推进新型研发机构改革、科技计划项目管理改革、科技创新人才引育用留改革、财政科技资金集成改革、创新链产业链资金链人才链融合发展改革“五项改革”，不断完善“1+N+X”产业创新体系（每个产业链布局N个研发机构实施X个科技项目），支持骨干企业联合高校院所、上下游企业组建新型研发机构、中试基地、概念验证中心等研发平台。积极促进科技创新和产业创新深度融合，组织实施一批关键技术攻关项目，推动突破工业母机、钛及钛合金、氢能等领域“卡脖子”技术，全年入库科技型中小企业1250户以上，高新技术企业达到900户以上，技术合同成交额达到82亿元以上。推动链群聚集。部署推进新一轮重点产业链高质量发展行动，筹建国家级智能机床创新中心和宝汉天工业母机集群创新联合会，抓好宝鸡机床高端数控机床产业园、吉利新车型及零部件产业园等149个重点工业项目和30个新增产能项目，推动24条重点产业链形成产业集聚效应。支持宝钛集团、宝石机械、宝石管业等大企业领航示范，推荐认定一批省市级链主企业，力争创新型中小企业、专精特新中小企业、“小巨人”企业和制造业单项冠军企业数量实现新突破，巩固提升全国先进制造业百强市地位。提升数智水平。以国家数据基础设施建设试点为契机，加快构建全市一体化数据资源共享体系，适度超前建设5G网络、万兆光网、物联网等新型基础设施，推动视觉超算中心二期、移动宝鸡数字大厦等重大算力项目尽快落地实施。扎实推进全国制造业新型技术改造城市试点，优先在工业智造等领域打造“人工智能+”特色应用场景，支持建设省级白酒和智能机床转型促进中心，全年争创省级智能工厂5个。积极培育多元化低空应用场景，前瞻布局智能经济新赛道，因地制宜发展新质生产力。</w:t>
      </w:r>
    </w:p>
    <w:p w14:paraId="53EB347A">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Style w:val="6"/>
          <w:rFonts w:hint="eastAsia" w:ascii="楷体_GB2312" w:eastAsia="楷体_GB2312" w:cs="楷体_GB2312"/>
          <w:spacing w:val="0"/>
          <w:sz w:val="31"/>
          <w:szCs w:val="31"/>
        </w:rPr>
        <w:t>（二）坚持项目引领，聚力扩大有效投资。</w:t>
      </w:r>
      <w:r>
        <w:rPr>
          <w:rFonts w:hint="eastAsia" w:ascii="仿宋_GB2312" w:eastAsia="仿宋_GB2312" w:cs="仿宋_GB2312"/>
          <w:spacing w:val="0"/>
          <w:sz w:val="31"/>
          <w:szCs w:val="31"/>
        </w:rPr>
        <w:t>谋大项目盘子。立足服务国家重大战略和推动宝鸡发展，坚持投资于物和投资于人紧密结合，聚焦产业发展、城市更新、民生改善、绿色低碳转型等领域，滚动谋划储备一批打基础、利长远、增后劲的大项目好项目，用足用好超长期特别国债、中省预算内投资、地方政府专项债券、新型政策性金融工具，全年谋划项目3000个以上、总投资突破2000亿元，争取中省各类资金40亿元以上。加速项目建设。落实“四个一批”项目动态管理机制，做实项目前期，强化要素保障，推动谋划项目早转化、成熟项目早落地、在建项目早投产，力争年度投资403.02亿元的369个市级重点项目开工率、投资完成率继续保持全省前列。专班推进重大项目建设，加快宝鸡峡引渭灌区现代化改造、通关河水库等项目前期，推动丈八煤矿、冯家山水库灌区现代化改造尽快开工、大庄里抽水蓄能电站大干快上、西凤酒城4万吨制酒项目建成投用。精准项目招引。立足产业规划和资源禀赋精准招商，加强资本招商、场景招商、科技招商等新模式推广运用，用好京津冀、长三角、陕粤港澳、丝博会等合作平台，强化与德国、日本、韩国等国家和香港、澳门等重点地区产业合作，争取一批国家战略性新兴产业和先进制造业项目在宝布局，全年谋划招商引资项目500个以上。</w:t>
      </w:r>
    </w:p>
    <w:p w14:paraId="3C4F8AEF">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Style w:val="6"/>
          <w:rFonts w:hint="eastAsia" w:ascii="楷体_GB2312" w:eastAsia="楷体_GB2312" w:cs="楷体_GB2312"/>
          <w:spacing w:val="0"/>
          <w:sz w:val="31"/>
          <w:szCs w:val="31"/>
        </w:rPr>
        <w:t>（三）坚持多元融合，聚力提振消费需求。</w:t>
      </w:r>
      <w:r>
        <w:rPr>
          <w:rFonts w:hint="eastAsia" w:ascii="仿宋_GB2312" w:eastAsia="仿宋_GB2312" w:cs="仿宋_GB2312"/>
          <w:spacing w:val="0"/>
          <w:sz w:val="31"/>
          <w:szCs w:val="31"/>
        </w:rPr>
        <w:t>突出文旅带动。系统推进文化旅游“八大工程”，加快西镇吴山、西凤工业旅游景区等争创4A级旅游景区，支持大水川创建国家级旅游度假区，宝钛工业园、凤县红光沟申报国家工业旅游示范基地，推动太白山、法门文化景区转型提质。全力做好关中文化生态保护区创建，加强周秦文化、青铜文化宣传阐释，促进非遗活态传承与发展，完成北首岭博物馆提升改造，争创国家历史文化名城。促进商贸提质。深入实施提振消费专项行动，出台节假日促进消费政策，支持汽车、家电、数码和智能产品以旧换新，市县联动举办“乐购宝鸡”促销活动200场次以上。推进中国供销宝鸡现代农产品物流园二期等131个商贸项目建设，实施经二路、高新大道等4大核心商圈智慧化改造，推动“醉宝鸡”品牌市场扩容，打造聚丰文化里等老字号餐饮聚集区和“宝鸡严选”电商品牌，支持老实人、宏运悦生活、众鑫等本土连锁企业新建大型超市5家以上。创新消费场景。主动顺应从“买商品”到“享服务”、“重体验”的消费新趋势，聚焦数字消费、绿色消费、健康消费等打造多元消费场景、丰富场景供给，加快培育服务消费新增长点。创新发展“文旅商体+百业”新业态新模式，用好“引客入宝”奖励办法，扩大“票根经济”规模效应，高标准承办全国魔方公开赛等高级别赛事，精心组织好银杏音乐节、宝鸡马拉松、国际酒展会等节会活动，撬动消费持续扩容升级。</w:t>
      </w:r>
    </w:p>
    <w:p w14:paraId="7DAC64D0">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Style w:val="6"/>
          <w:rFonts w:hint="eastAsia" w:ascii="楷体_GB2312" w:eastAsia="楷体_GB2312" w:cs="楷体_GB2312"/>
          <w:spacing w:val="0"/>
          <w:sz w:val="31"/>
          <w:szCs w:val="31"/>
        </w:rPr>
        <w:t>（四）坚持改革开放，聚力增强发展活力。</w:t>
      </w:r>
      <w:r>
        <w:rPr>
          <w:rFonts w:hint="eastAsia" w:ascii="仿宋_GB2312" w:eastAsia="仿宋_GB2312" w:cs="仿宋_GB2312"/>
          <w:spacing w:val="0"/>
          <w:sz w:val="31"/>
          <w:szCs w:val="31"/>
        </w:rPr>
        <w:t>全面深化改革。深化国资国企等重点领域改革，持续优化开发区管理体制，盘活行政事业单位存量国有资产，推动市属国有企业加快完善中国特色现代企业制度。有序推进农村集体经营性建设用地入市，做好陈仓、渭滨二轮土地延包整县试点和岐山、眉县、扶风镇村试点。加快建立取水信用评价体系，在大中型灌区开展灌溉用水户水权交易。聚焦群众关心关切的民生领域实施一批“小切口”改革，优化医保与医疗价格联动机制，总结推广“退休档案联合预审进园区”试点经验，稳步推进供水、供气、供热等公用事业价格改革。优化营商环境。加快融入和服务全国统一大市场建设，以“宝您满意”政务服务品牌建设为抓手，深入推进“高效办成一件事”集成改革，持续扩大政务服务“一网通办”覆盖范围，探索推行工程建设项目极简审批，推广应用电子证照、电子印章，有效降低制度性交易成本。深化社会信用体系建设，探索推行“信用＋”改革，力争全国社会信用体系建设示范市成功命名。深入宣传和贯彻实施《民营经济促进法》，依法保护民营企业和民营企业家合法权益，持续完善与民营企业常态化沟通交流机制，支持民营经济发展壮大。扩大对外开放。推动区港一体、联动发展，加快智慧物流港二期、生产服务型国家物流枢纽基础设施等项目建设，完善跨境电商进出口监管中心和零售进口退货中心仓功能，力促韵达宝鸡智慧云电商仓储快递科技园建成投用，中国邮政（宝鸡）电商物流中心、连霍高速港务区立交开工，更好支撑外向型经济高质量发展。持续提升中欧班列西安集结中心宝鸡副中心能级，全年发运中欧班列500列以上，外贸进出口总额增长8%以上。</w:t>
      </w:r>
    </w:p>
    <w:p w14:paraId="6D52363A">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Style w:val="6"/>
          <w:rFonts w:hint="eastAsia" w:ascii="楷体_GB2312" w:eastAsia="楷体_GB2312" w:cs="楷体_GB2312"/>
          <w:spacing w:val="0"/>
          <w:sz w:val="31"/>
          <w:szCs w:val="31"/>
        </w:rPr>
        <w:t>（五）坚持城乡互促，聚力促进区域协调。</w:t>
      </w:r>
      <w:r>
        <w:rPr>
          <w:rFonts w:hint="eastAsia" w:ascii="仿宋_GB2312" w:eastAsia="仿宋_GB2312" w:cs="仿宋_GB2312"/>
          <w:spacing w:val="0"/>
          <w:sz w:val="31"/>
          <w:szCs w:val="31"/>
        </w:rPr>
        <w:t>建强交通枢纽。集中精力打造外畅内通的综合立体交通网络，切实抓好17个重大交通基础设施项目建设，接续推动宝汉高铁纳入国家中长期铁路网规划，力促陇海铁路改造尽快开工建设，宝鸡机场年内主体工程完工，鄠周眉高速主体建成，关环高速、310国道改造、北过境和钓磻高速形成更多实物工作量。提升城市品质。围绕建设现代化人民城市目标，加快推进城市快速干道卧龙寺片区北向出口、阳平物流大道一期等道路工程建设，打通铁塔路等15条断头路、瓶颈路，实施东风路片区、南环路等15个雨污管网改造，新改造老旧小区204个。统筹推进城市精细治理“八大行动”，抓好长寿沟生活垃圾填埋场封场及整治、固体废弃物综合处置场等项目实施，新建改建口袋公园20处、公厕25座，新增停车位1000个以上。壮大县域经济。持续推进“一县一策”、“一区一策”事项清单落实落细，支持以凤翔白酒、岐山汽车及零部件和“一碗面”、扶风汽车及零部件、麟游绿色能源、眉县猕猴桃、陇县乳业、千阳苹果、凤县林麝养殖、太白冰雪经济等为代表的县域特色产业发展提升。加快推进以县城为重要载体、以小城镇为节点的城镇化建设，优化县镇基础设施布局，因地制宜推进23个城乡供水一体化工程，以新型城镇化建设有效支撑县域经济高质量发展。推进乡村振兴。开展新一轮粮食产能提升行动，确保粮食种植面积稳定在451万亩以上。加快国育新品“瑞香红”苹果全链开发，推进眉县猕猴桃优质化发展行动，完成千陇国家奶业生产能力提升项目，建设岐山县国家现代农业产业园、眉县金渠镇国家农业产业强镇。建立健全常态化防止返贫致贫监测体系，分类落实精准帮扶措施。聚力打造宜居宜业和美乡村示范样板，推动南山美丽乡村休闲带和眉坞山水田园和美乡村示范片建设率先突破，创建省级“千万工程”示范村30个以上。</w:t>
      </w:r>
    </w:p>
    <w:p w14:paraId="1A1025B6">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Style w:val="6"/>
          <w:rFonts w:hint="eastAsia" w:ascii="楷体_GB2312" w:eastAsia="楷体_GB2312" w:cs="楷体_GB2312"/>
          <w:spacing w:val="0"/>
          <w:sz w:val="31"/>
          <w:szCs w:val="31"/>
        </w:rPr>
        <w:t>（六）坚持生态优先，聚力加快绿色转型。</w:t>
      </w:r>
      <w:r>
        <w:rPr>
          <w:rFonts w:hint="eastAsia" w:ascii="仿宋_GB2312" w:eastAsia="仿宋_GB2312" w:cs="仿宋_GB2312"/>
          <w:spacing w:val="0"/>
          <w:sz w:val="31"/>
          <w:szCs w:val="31"/>
        </w:rPr>
        <w:t>加强生态保护。科学修编市级秦岭生态环境保护规划，常态化做好问题排查整治、矿山修复、水源保护、农家乐规范管理等重点工作，深入整治违规穿越探险和破坏野生动植物资源等行为，坚决当好秦岭生态卫士。全面推动黄河流域生态保护和高质量发展，扎实推进治污水、防洪水、排涝水、保供水、抓节水“五水共治”，举一反三做好再生水利用、违法取水等第三轮中央环保督察发现问题整改。持续推进三北防护林体系建设、全国重要生态系统保护和修复等重点工程，全年完成营造林20万亩，新增水土流失治理面积300平方公里。狠抓污染防治。扎实开展大气污染治理攻坚行动，持续巩固散煤治理成果，强化挥发性有机物、锅炉、非道路移动机械等综合治理。严控重点流域工业、农业和生活污染源，实施韦水河等3条中小河流治理和重点河流排污口整治，推进扶风县、岐山县农村黑臭水体“整县清零”试点，完成眉县汤峪河国家级幸福河湖建设。积极开展小微企业及社会源危险废物集中收集试点，推进第二批农用地土壤重金属污染溯源，做好关闭搬迁企业地块土壤污染风险管控和土壤重点监管单位隐患排查“回头看”。推动节能降碳。积极稳妥推进碳达峰，全面落实碳排放总量和强度“双控”制度，对电力、建材、有色金属等重点行业碳排放实行动态监测预警，推动重点用能和排放企业节能减碳改造和退出。全面加强新能源开发利用，继续推动风电、光伏发电大规模高质量发展，支持绿电制氢、绿电直连、新型储能试点示范，保障陕建工陇县混合储能等项目尽快落地建设，力争全市可再生能源装机容量突破350万千瓦、新能源发电量占比达到20%以上。</w:t>
      </w:r>
    </w:p>
    <w:p w14:paraId="364A2931">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Style w:val="6"/>
          <w:rFonts w:hint="eastAsia" w:ascii="楷体_GB2312" w:eastAsia="楷体_GB2312" w:cs="楷体_GB2312"/>
          <w:spacing w:val="0"/>
          <w:sz w:val="31"/>
          <w:szCs w:val="31"/>
        </w:rPr>
        <w:t>（七）坚持民生为本，聚力办好惠民实事。</w:t>
      </w:r>
      <w:r>
        <w:rPr>
          <w:rFonts w:hint="eastAsia" w:ascii="仿宋_GB2312" w:eastAsia="仿宋_GB2312" w:cs="仿宋_GB2312"/>
          <w:spacing w:val="0"/>
          <w:sz w:val="31"/>
          <w:szCs w:val="31"/>
        </w:rPr>
        <w:t>促进充分就业。深入实施职业技能提升、劳务品牌培育、就业服务提质“三项工程”，落实落细就业优先政策，优化创业创新环境，促进就业市场供需两端精准对接，推动高校毕业生、农民工、退役军人等重点群体稳定就业，全年城镇新增就业4.3万人，农村劳动力转移就业85万人，离校未就业高校毕业生帮扶就业率达到90%以上。完善公共服务。接续实施新一轮建设教育强市三年行动，实施高新南站中学等18个重点教育项目，新增学位6000个。强化医疗、医保、医药“三医联动”协同治理，加快推进市人民医院科技新城院区等28个卫健项目建设，年内市妇幼保健院高新院区、市口腔医院高新院区建成投用。落实好养老服务消费补贴政策，健全覆盖城乡的三级养老服务网络，建设镇（街）区域养老服务中心21个，力促宝鸡天健陈仓护理院等3个社会化运营项目年内投入运营。优化完善生育支持政策，逐步推行免费学前教育，实施好育儿补贴制度，以城市为单元整体推进普惠托育服务发展，普惠托位占比达到80％以上。强化民生保障。落实城乡居民增收计划，执行最低工资标准调整机制，持续提高中低收入群体收入。全面实施个人养老金制度，尽快出台城乡居民基本养老保险实施办法，推动灵活就业、农民工及快递员、网络直播等新就业形态人员参保扩面提质。建立与居民人均消费支出挂钩的低保标准量化调整机制，强化生活困难人员专项救助和临时救助，抓好全国救助管理区域性中心试点总结验收。实施扶残助老“民康计划”和困境儿童心理健康关爱“身心工程”试点，加速市残疾人康复中心建设，兜牢特殊群体保障底线。</w:t>
      </w:r>
    </w:p>
    <w:p w14:paraId="64DDB1D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Style w:val="6"/>
          <w:rFonts w:hint="eastAsia" w:ascii="楷体_GB2312" w:eastAsia="楷体_GB2312" w:cs="楷体_GB2312"/>
          <w:spacing w:val="0"/>
          <w:sz w:val="31"/>
          <w:szCs w:val="31"/>
        </w:rPr>
        <w:t>（八）坚持底线思维，聚力防范安全风险。</w:t>
      </w:r>
      <w:r>
        <w:rPr>
          <w:rFonts w:hint="eastAsia" w:ascii="仿宋_GB2312" w:eastAsia="仿宋_GB2312" w:cs="仿宋_GB2312"/>
          <w:spacing w:val="0"/>
          <w:sz w:val="31"/>
          <w:szCs w:val="31"/>
        </w:rPr>
        <w:t>化解重大风险。坚持控增量、去库存、优供给相结合，建立房地产项目全周期风险监测预警与化解处置机制，做好保交楼专项借款还款工作，着力稳定房地产市场运行。加快推动重点企业和金融机构风险出清，持续做好村镇银行改革化险，牢牢守住不发生系统性、区域性金融风险底线。加强政府债券“借用管还”全流程管理，严防已退出融资平台“返平”和新增隐性债务，按期完成政府债务化解、中小企业账款清理和融资平台退出“三清零”任务。狠抓安全生产。常态化开展煤矿、非煤矿山、危化品和烟花爆竹、工贸、燃气、交通运输、住建、消防等重点领域安全隐患排查整治，落实“人防、技防、工程防、管理防”举措，提升本质安全水平。健全完善应急管理体系，推进基层应急基础建设，提升重大自然灾害、突发事故应急处置能力。落实食品安全全链条监管措施，从严打击违法行为，切实保障人民群众饮食用药安全。加强社会治理。扎实推进基层治理体系和治理能力现代化，强化村（社区）阵地标准化建设，完善数字化治理与服务，提升多元共治效能。持续推进农村移风易俗，有效治理高额彩礼、大操大办等问题。坚持和发展新时代“枫桥经验”，聚焦住房、劳动、社会保障等重点领域常态化开展矛盾纠纷排查化解，攻坚突破信访问题源头治理和积案化解，严防发生个人极端案事件和群体性事件，努力建设更高水平平安宝鸡。</w:t>
      </w:r>
    </w:p>
    <w:p w14:paraId="7163EFC1">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textAlignment w:val="auto"/>
      </w:pPr>
      <w:r>
        <w:rPr>
          <w:rFonts w:hint="eastAsia" w:ascii="仿宋_GB2312" w:eastAsia="仿宋_GB2312" w:cs="仿宋_GB2312"/>
          <w:spacing w:val="0"/>
          <w:sz w:val="31"/>
          <w:szCs w:val="31"/>
        </w:rPr>
        <w:t>附件：宝鸡市2026年国民经济和社会发展综合指标计划</w:t>
      </w:r>
    </w:p>
    <w:p w14:paraId="7867D63A">
      <w:pPr>
        <w:pStyle w:val="3"/>
        <w:keepNext w:val="0"/>
        <w:keepLines w:val="0"/>
        <w:pageBreakBefore w:val="0"/>
        <w:widowControl/>
        <w:suppressLineNumbers w:val="0"/>
        <w:kinsoku/>
        <w:wordWrap/>
        <w:overflowPunct/>
        <w:topLinePunct w:val="0"/>
        <w:autoSpaceDN/>
        <w:bidi w:val="0"/>
        <w:adjustRightInd/>
        <w:snapToGrid/>
        <w:spacing w:beforeAutospacing="0" w:afterAutospacing="0" w:line="560" w:lineRule="exact"/>
        <w:jc w:val="center"/>
        <w:textAlignment w:val="auto"/>
      </w:pPr>
    </w:p>
    <w:p w14:paraId="1869C0D8">
      <w:pPr>
        <w:pStyle w:val="3"/>
        <w:keepNext w:val="0"/>
        <w:keepLines w:val="0"/>
        <w:pageBreakBefore w:val="0"/>
        <w:widowControl/>
        <w:suppressLineNumbers w:val="0"/>
        <w:kinsoku/>
        <w:wordWrap/>
        <w:overflowPunct/>
        <w:topLinePunct w:val="0"/>
        <w:autoSpaceDN/>
        <w:bidi w:val="0"/>
        <w:adjustRightInd/>
        <w:snapToGrid/>
        <w:spacing w:beforeAutospacing="0" w:afterAutospacing="0" w:line="560" w:lineRule="exact"/>
        <w:jc w:val="center"/>
        <w:textAlignment w:val="auto"/>
      </w:pPr>
      <w:r>
        <w:t> </w:t>
      </w:r>
    </w:p>
    <w:p w14:paraId="3306ACFC">
      <w:pPr>
        <w:pStyle w:val="3"/>
        <w:keepNext w:val="0"/>
        <w:keepLines w:val="0"/>
        <w:pageBreakBefore w:val="0"/>
        <w:widowControl/>
        <w:suppressLineNumbers w:val="0"/>
        <w:kinsoku/>
        <w:wordWrap/>
        <w:overflowPunct/>
        <w:topLinePunct w:val="0"/>
        <w:autoSpaceDN/>
        <w:bidi w:val="0"/>
        <w:adjustRightInd/>
        <w:snapToGrid/>
        <w:spacing w:beforeAutospacing="0" w:afterAutospacing="0" w:line="560" w:lineRule="exact"/>
        <w:textAlignment w:val="auto"/>
        <w:rPr>
          <w:rFonts w:hint="eastAsia" w:ascii="黑体" w:hAnsi="宋体" w:eastAsia="黑体" w:cs="黑体"/>
          <w:sz w:val="31"/>
          <w:szCs w:val="31"/>
        </w:rPr>
      </w:pPr>
      <w:r>
        <w:rPr>
          <w:rFonts w:hint="eastAsia" w:ascii="黑体" w:hAnsi="宋体" w:eastAsia="黑体" w:cs="黑体"/>
          <w:sz w:val="31"/>
          <w:szCs w:val="31"/>
        </w:rPr>
        <w:t>附件</w:t>
      </w:r>
    </w:p>
    <w:p w14:paraId="04BEE020">
      <w:pPr>
        <w:pStyle w:val="3"/>
        <w:keepNext w:val="0"/>
        <w:keepLines w:val="0"/>
        <w:pageBreakBefore w:val="0"/>
        <w:widowControl/>
        <w:suppressLineNumbers w:val="0"/>
        <w:kinsoku/>
        <w:wordWrap/>
        <w:overflowPunct/>
        <w:topLinePunct w:val="0"/>
        <w:autoSpaceDN/>
        <w:bidi w:val="0"/>
        <w:adjustRightInd/>
        <w:snapToGrid/>
        <w:spacing w:beforeAutospacing="0" w:afterAutospacing="0" w:line="560" w:lineRule="exact"/>
        <w:textAlignment w:val="auto"/>
      </w:pPr>
      <w:r>
        <w:t> </w:t>
      </w:r>
    </w:p>
    <w:p w14:paraId="5E569B05">
      <w:pPr>
        <w:pStyle w:val="3"/>
        <w:keepNext w:val="0"/>
        <w:keepLines w:val="0"/>
        <w:pageBreakBefore w:val="0"/>
        <w:widowControl/>
        <w:suppressLineNumbers w:val="0"/>
        <w:kinsoku/>
        <w:wordWrap/>
        <w:overflowPunct/>
        <w:topLinePunct w:val="0"/>
        <w:autoSpaceDN/>
        <w:bidi w:val="0"/>
        <w:adjustRightInd/>
        <w:snapToGrid/>
        <w:spacing w:beforeAutospacing="0" w:afterAutospacing="0" w:line="560" w:lineRule="exact"/>
        <w:jc w:val="center"/>
        <w:textAlignment w:val="auto"/>
      </w:pPr>
      <w:r>
        <w:rPr>
          <w:rFonts w:hint="eastAsia" w:ascii="方正小标宋简体" w:hAnsi="方正小标宋简体" w:eastAsia="方正小标宋简体" w:cs="方正小标宋简体"/>
          <w:spacing w:val="-30"/>
          <w:sz w:val="43"/>
          <w:szCs w:val="43"/>
        </w:rPr>
        <w:t>宝鸡市2026年国民经济和社会发展综合指标计划</w:t>
      </w:r>
    </w:p>
    <w:p w14:paraId="5E8F764D">
      <w:pPr>
        <w:pStyle w:val="3"/>
        <w:keepNext w:val="0"/>
        <w:keepLines w:val="0"/>
        <w:widowControl/>
        <w:suppressLineNumbers w:val="0"/>
      </w:pPr>
      <w: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3150"/>
        <w:gridCol w:w="665"/>
        <w:gridCol w:w="928"/>
        <w:gridCol w:w="928"/>
        <w:gridCol w:w="860"/>
        <w:gridCol w:w="895"/>
        <w:gridCol w:w="910"/>
      </w:tblGrid>
      <w:tr w14:paraId="2608779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840" w:hRule="atLeast"/>
        </w:trPr>
        <w:tc>
          <w:tcPr>
            <w:tcW w:w="3480" w:type="dxa"/>
            <w:tcBorders>
              <w:top w:val="single" w:color="auto" w:sz="12" w:space="0"/>
              <w:left w:val="single" w:color="auto" w:sz="12" w:space="0"/>
              <w:bottom w:val="single" w:color="auto" w:sz="6" w:space="0"/>
              <w:right w:val="single" w:color="auto" w:sz="6" w:space="0"/>
            </w:tcBorders>
            <w:shd w:val="clear"/>
            <w:tcMar>
              <w:top w:w="15" w:type="dxa"/>
              <w:left w:w="15" w:type="dxa"/>
              <w:right w:w="15" w:type="dxa"/>
            </w:tcMar>
            <w:vAlign w:val="center"/>
          </w:tcPr>
          <w:p w14:paraId="4D3A4BCA">
            <w:pPr>
              <w:pStyle w:val="3"/>
              <w:keepNext w:val="0"/>
              <w:keepLines w:val="0"/>
              <w:widowControl/>
              <w:suppressLineNumbers w:val="0"/>
              <w:wordWrap w:val="0"/>
              <w:jc w:val="center"/>
            </w:pPr>
            <w:r>
              <w:rPr>
                <w:rStyle w:val="6"/>
                <w:rFonts w:hint="eastAsia" w:ascii="仿宋_GB2312" w:eastAsia="仿宋_GB2312" w:cs="仿宋_GB2312"/>
                <w:sz w:val="21"/>
                <w:szCs w:val="21"/>
                <w:bdr w:val="none" w:color="auto" w:sz="0" w:space="0"/>
              </w:rPr>
              <w:t>​指标名称</w:t>
            </w:r>
          </w:p>
        </w:tc>
        <w:tc>
          <w:tcPr>
            <w:tcW w:w="750" w:type="dxa"/>
            <w:tcBorders>
              <w:top w:val="single" w:color="auto" w:sz="12" w:space="0"/>
              <w:left w:val="single" w:color="auto" w:sz="6" w:space="0"/>
              <w:bottom w:val="single" w:color="auto" w:sz="6" w:space="0"/>
              <w:right w:val="single" w:color="auto" w:sz="6" w:space="0"/>
            </w:tcBorders>
            <w:shd w:val="clear"/>
            <w:tcMar>
              <w:top w:w="15" w:type="dxa"/>
              <w:left w:w="15" w:type="dxa"/>
              <w:right w:w="15" w:type="dxa"/>
            </w:tcMar>
            <w:vAlign w:val="center"/>
          </w:tcPr>
          <w:p w14:paraId="79A3FF1F">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计算</w:t>
            </w:r>
          </w:p>
          <w:p w14:paraId="52BF7F6E">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单位</w:t>
            </w:r>
          </w:p>
        </w:tc>
        <w:tc>
          <w:tcPr>
            <w:tcW w:w="960" w:type="dxa"/>
            <w:tcBorders>
              <w:top w:val="single" w:color="auto" w:sz="12" w:space="0"/>
              <w:left w:val="single" w:color="auto" w:sz="6" w:space="0"/>
              <w:bottom w:val="single" w:color="auto" w:sz="6" w:space="0"/>
              <w:right w:val="single" w:color="auto" w:sz="6" w:space="0"/>
            </w:tcBorders>
            <w:shd w:val="clear"/>
            <w:tcMar>
              <w:top w:w="15" w:type="dxa"/>
              <w:left w:w="15" w:type="dxa"/>
              <w:right w:w="15" w:type="dxa"/>
            </w:tcMar>
            <w:vAlign w:val="center"/>
          </w:tcPr>
          <w:p w14:paraId="794A5004">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2024年</w:t>
            </w:r>
          </w:p>
          <w:p w14:paraId="5A50C471">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实际</w:t>
            </w:r>
          </w:p>
        </w:tc>
        <w:tc>
          <w:tcPr>
            <w:tcW w:w="960" w:type="dxa"/>
            <w:tcBorders>
              <w:top w:val="single" w:color="auto" w:sz="12" w:space="0"/>
              <w:left w:val="single" w:color="auto" w:sz="6" w:space="0"/>
              <w:bottom w:val="single" w:color="auto" w:sz="6" w:space="0"/>
              <w:right w:val="single" w:color="auto" w:sz="6" w:space="0"/>
            </w:tcBorders>
            <w:shd w:val="clear"/>
            <w:tcMar>
              <w:top w:w="15" w:type="dxa"/>
              <w:left w:w="15" w:type="dxa"/>
              <w:right w:w="15" w:type="dxa"/>
            </w:tcMar>
            <w:vAlign w:val="center"/>
          </w:tcPr>
          <w:p w14:paraId="060EAAC8">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2025年</w:t>
            </w:r>
          </w:p>
          <w:p w14:paraId="21E44AD3">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完成</w:t>
            </w:r>
          </w:p>
        </w:tc>
        <w:tc>
          <w:tcPr>
            <w:tcW w:w="900" w:type="dxa"/>
            <w:tcBorders>
              <w:top w:val="single" w:color="auto" w:sz="12" w:space="0"/>
              <w:left w:val="single" w:color="auto" w:sz="6" w:space="0"/>
              <w:bottom w:val="single" w:color="auto" w:sz="6" w:space="0"/>
              <w:right w:val="single" w:color="auto" w:sz="6" w:space="0"/>
            </w:tcBorders>
            <w:shd w:val="clear"/>
            <w:tcMar>
              <w:top w:w="15" w:type="dxa"/>
              <w:left w:w="15" w:type="dxa"/>
              <w:right w:w="15" w:type="dxa"/>
            </w:tcMar>
            <w:vAlign w:val="center"/>
          </w:tcPr>
          <w:p w14:paraId="76BD2D51">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2025年</w:t>
            </w:r>
          </w:p>
          <w:p w14:paraId="60EB0F70">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增长</w:t>
            </w:r>
          </w:p>
          <w:p w14:paraId="45151343">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w:t>
            </w:r>
            <w:r>
              <w:rPr>
                <w:rStyle w:val="6"/>
                <w:rFonts w:hint="default" w:ascii="Times New Roman" w:hAnsi="Times New Roman" w:eastAsia="仿宋_GB2312" w:cs="Times New Roman"/>
                <w:sz w:val="21"/>
                <w:szCs w:val="21"/>
                <w:bdr w:val="none" w:color="auto" w:sz="0" w:space="0"/>
              </w:rPr>
              <w:t>%</w:t>
            </w:r>
            <w:r>
              <w:rPr>
                <w:rStyle w:val="6"/>
                <w:rFonts w:hint="eastAsia" w:ascii="仿宋_GB2312" w:eastAsia="仿宋_GB2312" w:cs="仿宋_GB2312"/>
                <w:sz w:val="21"/>
                <w:szCs w:val="21"/>
                <w:bdr w:val="none" w:color="auto" w:sz="0" w:space="0"/>
              </w:rPr>
              <w:t>）</w:t>
            </w:r>
          </w:p>
        </w:tc>
        <w:tc>
          <w:tcPr>
            <w:tcW w:w="900" w:type="dxa"/>
            <w:tcBorders>
              <w:top w:val="single" w:color="auto" w:sz="12" w:space="0"/>
              <w:left w:val="single" w:color="auto" w:sz="6" w:space="0"/>
              <w:bottom w:val="single" w:color="auto" w:sz="6" w:space="0"/>
              <w:right w:val="single" w:color="auto" w:sz="6" w:space="0"/>
            </w:tcBorders>
            <w:shd w:val="clear"/>
            <w:tcMar>
              <w:top w:w="15" w:type="dxa"/>
              <w:left w:w="15" w:type="dxa"/>
              <w:right w:w="15" w:type="dxa"/>
            </w:tcMar>
            <w:vAlign w:val="center"/>
          </w:tcPr>
          <w:p w14:paraId="245A6C2D">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2026年</w:t>
            </w:r>
          </w:p>
          <w:p w14:paraId="0C85CBE8">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计划</w:t>
            </w:r>
          </w:p>
        </w:tc>
        <w:tc>
          <w:tcPr>
            <w:tcW w:w="960" w:type="dxa"/>
            <w:tcBorders>
              <w:top w:val="single" w:color="auto" w:sz="12" w:space="0"/>
              <w:left w:val="single" w:color="auto" w:sz="6" w:space="0"/>
              <w:bottom w:val="single" w:color="auto" w:sz="6" w:space="0"/>
              <w:right w:val="single" w:color="auto" w:sz="12" w:space="0"/>
            </w:tcBorders>
            <w:shd w:val="clear"/>
            <w:tcMar>
              <w:top w:w="15" w:type="dxa"/>
              <w:left w:w="15" w:type="dxa"/>
              <w:right w:w="15" w:type="dxa"/>
            </w:tcMar>
            <w:vAlign w:val="center"/>
          </w:tcPr>
          <w:p w14:paraId="141152BD">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2026年</w:t>
            </w:r>
          </w:p>
          <w:p w14:paraId="6CB4E4E0">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预计</w:t>
            </w:r>
          </w:p>
          <w:p w14:paraId="3F4D02E0">
            <w:pPr>
              <w:pStyle w:val="3"/>
              <w:keepNext w:val="0"/>
              <w:keepLines w:val="0"/>
              <w:widowControl/>
              <w:suppressLineNumbers w:val="0"/>
              <w:jc w:val="center"/>
            </w:pPr>
            <w:r>
              <w:rPr>
                <w:rStyle w:val="6"/>
                <w:rFonts w:hint="eastAsia" w:ascii="仿宋_GB2312" w:eastAsia="仿宋_GB2312" w:cs="仿宋_GB2312"/>
                <w:sz w:val="21"/>
                <w:szCs w:val="21"/>
                <w:bdr w:val="none" w:color="auto" w:sz="0" w:space="0"/>
              </w:rPr>
              <w:t>增长（</w:t>
            </w:r>
            <w:r>
              <w:rPr>
                <w:rStyle w:val="6"/>
                <w:rFonts w:hint="default" w:ascii="Times New Roman" w:hAnsi="Times New Roman" w:eastAsia="仿宋_GB2312" w:cs="Times New Roman"/>
                <w:sz w:val="21"/>
                <w:szCs w:val="21"/>
                <w:bdr w:val="none" w:color="auto" w:sz="0" w:space="0"/>
              </w:rPr>
              <w:t>%</w:t>
            </w:r>
            <w:r>
              <w:rPr>
                <w:rStyle w:val="6"/>
                <w:rFonts w:hint="eastAsia" w:ascii="仿宋_GB2312" w:eastAsia="仿宋_GB2312" w:cs="仿宋_GB2312"/>
                <w:sz w:val="21"/>
                <w:szCs w:val="21"/>
                <w:bdr w:val="none" w:color="auto" w:sz="0" w:space="0"/>
              </w:rPr>
              <w:t>）</w:t>
            </w:r>
          </w:p>
        </w:tc>
      </w:tr>
      <w:tr w14:paraId="2502EC2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6E81AD96">
            <w:pPr>
              <w:pStyle w:val="3"/>
              <w:keepNext w:val="0"/>
              <w:keepLines w:val="0"/>
              <w:widowControl/>
              <w:suppressLineNumbers w:val="0"/>
              <w:spacing w:line="240" w:lineRule="atLeast"/>
              <w:textAlignment w:val="center"/>
            </w:pPr>
            <w:r>
              <w:rPr>
                <w:rFonts w:hint="eastAsia" w:ascii="黑体" w:hAnsi="宋体" w:eastAsia="黑体" w:cs="黑体"/>
                <w:sz w:val="21"/>
                <w:szCs w:val="21"/>
                <w:bdr w:val="none" w:color="auto" w:sz="0" w:space="0"/>
              </w:rPr>
              <w:t>一、经济发展</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ED996E1">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8FB3E81">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49F9DD1">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32A94CE">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29738E3">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52D5277A">
            <w:pPr>
              <w:keepNext w:val="0"/>
              <w:keepLines w:val="0"/>
              <w:widowControl/>
              <w:suppressLineNumbers w:val="0"/>
              <w:jc w:val="left"/>
            </w:pPr>
          </w:p>
        </w:tc>
      </w:tr>
      <w:tr w14:paraId="4D6BD71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7D5F0AD1">
            <w:pPr>
              <w:pStyle w:val="3"/>
              <w:keepNext w:val="0"/>
              <w:keepLines w:val="0"/>
              <w:widowControl/>
              <w:suppressLineNumbers w:val="0"/>
              <w:spacing w:line="255" w:lineRule="atLeast"/>
              <w:textAlignment w:val="center"/>
            </w:pPr>
            <w:r>
              <w:rPr>
                <w:rStyle w:val="6"/>
                <w:rFonts w:hint="eastAsia" w:ascii="楷体_GB2312" w:eastAsia="楷体_GB2312" w:cs="楷体_GB2312"/>
                <w:sz w:val="21"/>
                <w:szCs w:val="21"/>
                <w:bdr w:val="none" w:color="auto" w:sz="0" w:space="0"/>
              </w:rPr>
              <w:t>地区生产总值</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B6C2E6B">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A8C3C06">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67983C9">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6F63359">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2E9B05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39620AB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5.5左右</w:t>
            </w:r>
          </w:p>
        </w:tc>
      </w:tr>
      <w:tr w14:paraId="199F24E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5D357C32">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其中：一产</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10C7655">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3B478F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6B9277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312EB40">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3.7</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3F1D2D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3278DC5B">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3.5</w:t>
            </w:r>
          </w:p>
        </w:tc>
      </w:tr>
      <w:tr w14:paraId="6A7C8B6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249B72DD">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规上工业增加值</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6990ACA">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3D766CA">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D6718C6">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0D8DD1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10</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AFBB82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605A593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7.5</w:t>
            </w:r>
          </w:p>
        </w:tc>
      </w:tr>
      <w:tr w14:paraId="3116F98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336CABA6">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三产</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3E2A546">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EDB38A6">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719FC0B">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23E849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5.8</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AB8D1E6">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66EDD03C">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5.5</w:t>
            </w:r>
          </w:p>
        </w:tc>
      </w:tr>
      <w:tr w14:paraId="09742A0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0FEE8065">
            <w:pPr>
              <w:pStyle w:val="3"/>
              <w:keepNext w:val="0"/>
              <w:keepLines w:val="0"/>
              <w:widowControl/>
              <w:suppressLineNumbers w:val="0"/>
              <w:spacing w:line="240" w:lineRule="atLeast"/>
              <w:textAlignment w:val="center"/>
            </w:pPr>
            <w:r>
              <w:rPr>
                <w:rStyle w:val="6"/>
                <w:rFonts w:hint="eastAsia" w:ascii="楷体_GB2312" w:eastAsia="楷体_GB2312" w:cs="楷体_GB2312"/>
                <w:sz w:val="21"/>
                <w:szCs w:val="21"/>
                <w:bdr w:val="none" w:color="auto" w:sz="0" w:space="0"/>
              </w:rPr>
              <w:t>国内需求</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494F4B5">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1B59851">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D5E026A">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119DC1B">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795D224">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1F94D10A">
            <w:pPr>
              <w:keepNext w:val="0"/>
              <w:keepLines w:val="0"/>
              <w:widowControl/>
              <w:suppressLineNumbers w:val="0"/>
              <w:jc w:val="left"/>
            </w:pPr>
          </w:p>
        </w:tc>
      </w:tr>
      <w:tr w14:paraId="1CE9B9E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28EEEE2D">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固定资产投资</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1F1B93F">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0F996EB">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1A9B3BC">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0FAD88C">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8.6</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F836941">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4951F35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w:t>
            </w:r>
          </w:p>
        </w:tc>
      </w:tr>
      <w:tr w14:paraId="363EDD5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4CD95C8C">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社会消费品零售总额</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F3EFFD0">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5F240F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1025.37</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6D30EC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3507E8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6.6</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9AD271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453E0C5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w:t>
            </w:r>
          </w:p>
        </w:tc>
      </w:tr>
      <w:tr w14:paraId="071A6D3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57275396">
            <w:pPr>
              <w:pStyle w:val="3"/>
              <w:keepNext w:val="0"/>
              <w:keepLines w:val="0"/>
              <w:widowControl/>
              <w:suppressLineNumbers w:val="0"/>
              <w:spacing w:line="240" w:lineRule="atLeast"/>
              <w:textAlignment w:val="center"/>
            </w:pPr>
            <w:r>
              <w:rPr>
                <w:rStyle w:val="6"/>
                <w:rFonts w:hint="eastAsia" w:ascii="楷体_GB2312" w:eastAsia="楷体_GB2312" w:cs="楷体_GB2312"/>
                <w:sz w:val="21"/>
                <w:szCs w:val="21"/>
                <w:bdr w:val="none" w:color="auto" w:sz="0" w:space="0"/>
              </w:rPr>
              <w:t>对外开放</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0EAD3C5">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D83DEF9">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B5C336D">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D178251">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032D073">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42BB9F05">
            <w:pPr>
              <w:keepNext w:val="0"/>
              <w:keepLines w:val="0"/>
              <w:widowControl/>
              <w:suppressLineNumbers w:val="0"/>
              <w:jc w:val="left"/>
            </w:pPr>
          </w:p>
        </w:tc>
      </w:tr>
      <w:tr w14:paraId="7DAC96B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5E8D49B2">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货物进出口额</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F100EBE">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233799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88.08</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E387CE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59.97</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62F0320">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-32.1</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EE6C5A8">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64.77</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308961F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w:t>
            </w:r>
          </w:p>
        </w:tc>
      </w:tr>
      <w:tr w14:paraId="25BE87B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29748878">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其中：出口</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B109963">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E7FE458">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78.61</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F8AC768">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57.30</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D93A75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-27.1</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64B705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61.88</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55D75C5B">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w:t>
            </w:r>
          </w:p>
        </w:tc>
      </w:tr>
      <w:tr w14:paraId="5DDA9FD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20DB513E">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进口</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BDEE3DD">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CDB24EC">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9.47</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90DE1F8">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2.67</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67A734A">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-72.6</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7D37AED">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2.88</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047B14B8">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w:t>
            </w:r>
          </w:p>
        </w:tc>
      </w:tr>
      <w:tr w14:paraId="2745418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32454FDD">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服务进出口额</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BCF97F8">
            <w:pPr>
              <w:pStyle w:val="3"/>
              <w:keepNext w:val="0"/>
              <w:keepLines w:val="0"/>
              <w:widowControl/>
              <w:suppressLineNumbers w:val="0"/>
              <w:jc w:val="center"/>
            </w:pPr>
            <w:r>
              <w:rPr>
                <w:rFonts w:hint="eastAsia" w:ascii="仿宋_GB2312" w:eastAsia="仿宋_GB2312" w:cs="仿宋_GB2312"/>
                <w:sz w:val="21"/>
                <w:szCs w:val="21"/>
                <w:bdr w:val="none" w:color="auto" w:sz="0" w:space="0"/>
              </w:rPr>
              <w:t>万美元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883B57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8871.04</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BDDCF45">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9580.72</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92DBDE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717954C">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10059.76</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711BD1DC">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w:t>
            </w:r>
          </w:p>
        </w:tc>
      </w:tr>
      <w:tr w14:paraId="1424422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08A96D85">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外商直接投资</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0F4516A">
            <w:pPr>
              <w:pStyle w:val="3"/>
              <w:keepNext w:val="0"/>
              <w:keepLines w:val="0"/>
              <w:widowControl/>
              <w:suppressLineNumbers w:val="0"/>
              <w:jc w:val="center"/>
            </w:pPr>
            <w:r>
              <w:rPr>
                <w:rFonts w:hint="eastAsia" w:ascii="仿宋_GB2312" w:eastAsia="仿宋_GB2312" w:cs="仿宋_GB2312"/>
                <w:sz w:val="21"/>
                <w:szCs w:val="21"/>
                <w:bdr w:val="none" w:color="auto" w:sz="0" w:space="0"/>
              </w:rPr>
              <w:t>万美元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A2E166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1835</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3D5FDD8">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1555</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BABF415">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-15.3</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D05099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2200</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7702178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41.5</w:t>
            </w:r>
          </w:p>
        </w:tc>
      </w:tr>
      <w:tr w14:paraId="72A701F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6C3640A7">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境外直接投资</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50E3FA0">
            <w:pPr>
              <w:pStyle w:val="3"/>
              <w:keepNext w:val="0"/>
              <w:keepLines w:val="0"/>
              <w:widowControl/>
              <w:suppressLineNumbers w:val="0"/>
              <w:jc w:val="center"/>
            </w:pPr>
            <w:r>
              <w:rPr>
                <w:rFonts w:hint="eastAsia" w:ascii="仿宋_GB2312" w:eastAsia="仿宋_GB2312" w:cs="仿宋_GB2312"/>
                <w:sz w:val="21"/>
                <w:szCs w:val="21"/>
                <w:bdr w:val="none" w:color="auto" w:sz="0" w:space="0"/>
              </w:rPr>
              <w:t>万美元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0DCB2C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172.98</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4CFA09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24.69</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CA75F11">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-85.7</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07A190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25.9</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3BB886FA">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w:t>
            </w:r>
          </w:p>
        </w:tc>
      </w:tr>
      <w:tr w14:paraId="7D1C5C2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07B0D323">
            <w:pPr>
              <w:pStyle w:val="3"/>
              <w:keepNext w:val="0"/>
              <w:keepLines w:val="0"/>
              <w:widowControl/>
              <w:suppressLineNumbers w:val="0"/>
              <w:spacing w:line="240" w:lineRule="atLeast"/>
              <w:textAlignment w:val="center"/>
            </w:pPr>
            <w:r>
              <w:rPr>
                <w:rStyle w:val="6"/>
                <w:rFonts w:hint="eastAsia" w:ascii="楷体_GB2312" w:eastAsia="楷体_GB2312" w:cs="楷体_GB2312"/>
                <w:sz w:val="21"/>
                <w:szCs w:val="21"/>
                <w:bdr w:val="none" w:color="auto" w:sz="0" w:space="0"/>
              </w:rPr>
              <w:t>价格水平</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568B3E1">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484B810">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8C02967">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080B293">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37AD74A">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649ED655">
            <w:pPr>
              <w:keepNext w:val="0"/>
              <w:keepLines w:val="0"/>
              <w:widowControl/>
              <w:suppressLineNumbers w:val="0"/>
              <w:jc w:val="left"/>
            </w:pPr>
          </w:p>
        </w:tc>
      </w:tr>
      <w:tr w14:paraId="26AA282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198AF108">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居民消费价格指数（上年</w:t>
            </w:r>
            <w:r>
              <w:rPr>
                <w:rFonts w:hint="default" w:ascii="Times New Roman" w:hAnsi="Times New Roman" w:eastAsia="仿宋_GB2312" w:cs="Times New Roman"/>
                <w:sz w:val="21"/>
                <w:szCs w:val="21"/>
                <w:bdr w:val="none" w:color="auto" w:sz="0" w:space="0"/>
              </w:rPr>
              <w:t>=100</w:t>
            </w:r>
            <w:r>
              <w:rPr>
                <w:rFonts w:hint="eastAsia" w:ascii="仿宋_GB2312" w:eastAsia="仿宋_GB2312" w:cs="仿宋_GB2312"/>
                <w:sz w:val="21"/>
                <w:szCs w:val="21"/>
                <w:bdr w:val="none" w:color="auto" w:sz="0" w:space="0"/>
              </w:rPr>
              <w:t>）</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bottom"/>
          </w:tcPr>
          <w:p w14:paraId="36E16A93">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5F7D97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99.8</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B10ABCA">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100.3</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1622AD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CBD4210">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102左右</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0F52E7ED">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r>
      <w:tr w14:paraId="0A7B0BB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47590D51">
            <w:pPr>
              <w:pStyle w:val="3"/>
              <w:keepNext w:val="0"/>
              <w:keepLines w:val="0"/>
              <w:widowControl/>
              <w:suppressLineNumbers w:val="0"/>
              <w:spacing w:line="240" w:lineRule="atLeast"/>
              <w:textAlignment w:val="center"/>
            </w:pPr>
            <w:r>
              <w:rPr>
                <w:rStyle w:val="6"/>
                <w:rFonts w:hint="eastAsia" w:ascii="楷体_GB2312" w:eastAsia="楷体_GB2312" w:cs="楷体_GB2312"/>
                <w:sz w:val="21"/>
                <w:szCs w:val="21"/>
                <w:bdr w:val="none" w:color="auto" w:sz="0" w:space="0"/>
              </w:rPr>
              <w:t>地方财政</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163E3F2">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43EFADD">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5C20892">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E3E5512">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FC2B947">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271BD987">
            <w:pPr>
              <w:keepNext w:val="0"/>
              <w:keepLines w:val="0"/>
              <w:widowControl/>
              <w:suppressLineNumbers w:val="0"/>
              <w:jc w:val="left"/>
            </w:pPr>
          </w:p>
        </w:tc>
      </w:tr>
      <w:tr w14:paraId="1967F07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136F7D46">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一般公共预算收入</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A278500">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7C9B33A">
            <w:pPr>
              <w:pStyle w:val="3"/>
              <w:keepNext w:val="0"/>
              <w:keepLines w:val="0"/>
              <w:widowControl/>
              <w:suppressLineNumbers w:val="0"/>
              <w:jc w:val="center"/>
            </w:pPr>
            <w:r>
              <w:rPr>
                <w:rFonts w:hint="eastAsia" w:ascii="仿宋_GB2312" w:eastAsia="仿宋_GB2312" w:cs="仿宋_GB2312"/>
                <w:sz w:val="21"/>
                <w:szCs w:val="21"/>
                <w:bdr w:val="none" w:color="auto" w:sz="0" w:space="0"/>
              </w:rPr>
              <w:t>108.71</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4108E70">
            <w:pPr>
              <w:pStyle w:val="3"/>
              <w:keepNext w:val="0"/>
              <w:keepLines w:val="0"/>
              <w:widowControl/>
              <w:suppressLineNumbers w:val="0"/>
              <w:jc w:val="center"/>
            </w:pPr>
            <w:r>
              <w:rPr>
                <w:rFonts w:hint="eastAsia" w:ascii="仿宋_GB2312" w:eastAsia="仿宋_GB2312" w:cs="仿宋_GB2312"/>
                <w:sz w:val="21"/>
                <w:szCs w:val="21"/>
                <w:bdr w:val="none" w:color="auto" w:sz="0" w:space="0"/>
              </w:rPr>
              <w:t>112.07</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F489403">
            <w:pPr>
              <w:pStyle w:val="3"/>
              <w:keepNext w:val="0"/>
              <w:keepLines w:val="0"/>
              <w:widowControl/>
              <w:suppressLineNumbers w:val="0"/>
              <w:jc w:val="center"/>
            </w:pPr>
            <w:r>
              <w:rPr>
                <w:rFonts w:hint="eastAsia" w:ascii="仿宋_GB2312" w:eastAsia="仿宋_GB2312" w:cs="仿宋_GB2312"/>
                <w:sz w:val="21"/>
                <w:szCs w:val="21"/>
                <w:bdr w:val="none" w:color="auto" w:sz="0" w:space="0"/>
              </w:rPr>
              <w:t>3.1</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710D3C6">
            <w:pPr>
              <w:pStyle w:val="3"/>
              <w:keepNext w:val="0"/>
              <w:keepLines w:val="0"/>
              <w:widowControl/>
              <w:suppressLineNumbers w:val="0"/>
              <w:jc w:val="center"/>
            </w:pPr>
            <w:r>
              <w:rPr>
                <w:rFonts w:hint="eastAsia" w:ascii="仿宋_GB2312" w:eastAsia="仿宋_GB2312" w:cs="仿宋_GB2312"/>
                <w:sz w:val="21"/>
                <w:szCs w:val="21"/>
                <w:bdr w:val="none" w:color="auto" w:sz="0" w:space="0"/>
              </w:rPr>
              <w:t>115.43</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3BAD95E1">
            <w:pPr>
              <w:pStyle w:val="3"/>
              <w:keepNext w:val="0"/>
              <w:keepLines w:val="0"/>
              <w:widowControl/>
              <w:suppressLineNumbers w:val="0"/>
              <w:jc w:val="center"/>
            </w:pPr>
            <w:r>
              <w:rPr>
                <w:rFonts w:hint="eastAsia" w:ascii="仿宋_GB2312" w:eastAsia="仿宋_GB2312" w:cs="仿宋_GB2312"/>
                <w:sz w:val="21"/>
                <w:szCs w:val="21"/>
                <w:bdr w:val="none" w:color="auto" w:sz="0" w:space="0"/>
              </w:rPr>
              <w:t>3</w:t>
            </w:r>
          </w:p>
        </w:tc>
      </w:tr>
      <w:tr w14:paraId="2D0AD23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0D3F47E0">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政府性基金收入</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A95CE9F">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F3E94FD">
            <w:pPr>
              <w:pStyle w:val="3"/>
              <w:keepNext w:val="0"/>
              <w:keepLines w:val="0"/>
              <w:widowControl/>
              <w:suppressLineNumbers w:val="0"/>
              <w:jc w:val="center"/>
            </w:pPr>
            <w:r>
              <w:rPr>
                <w:rFonts w:hint="eastAsia" w:ascii="仿宋_GB2312" w:eastAsia="仿宋_GB2312" w:cs="仿宋_GB2312"/>
                <w:sz w:val="21"/>
                <w:szCs w:val="21"/>
                <w:bdr w:val="none" w:color="auto" w:sz="0" w:space="0"/>
              </w:rPr>
              <w:t>37.75</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16E14D5">
            <w:pPr>
              <w:pStyle w:val="3"/>
              <w:keepNext w:val="0"/>
              <w:keepLines w:val="0"/>
              <w:widowControl/>
              <w:suppressLineNumbers w:val="0"/>
              <w:jc w:val="center"/>
            </w:pPr>
            <w:r>
              <w:rPr>
                <w:rFonts w:hint="eastAsia" w:ascii="仿宋_GB2312" w:eastAsia="仿宋_GB2312" w:cs="仿宋_GB2312"/>
                <w:sz w:val="21"/>
                <w:szCs w:val="21"/>
                <w:bdr w:val="none" w:color="auto" w:sz="0" w:space="0"/>
              </w:rPr>
              <w:t>29.84</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8A8A21A">
            <w:pPr>
              <w:pStyle w:val="3"/>
              <w:keepNext w:val="0"/>
              <w:keepLines w:val="0"/>
              <w:widowControl/>
              <w:suppressLineNumbers w:val="0"/>
              <w:jc w:val="center"/>
            </w:pPr>
            <w:r>
              <w:rPr>
                <w:rFonts w:hint="eastAsia" w:ascii="仿宋_GB2312" w:eastAsia="仿宋_GB2312" w:cs="仿宋_GB2312"/>
                <w:sz w:val="21"/>
                <w:szCs w:val="21"/>
                <w:bdr w:val="none" w:color="auto" w:sz="0" w:space="0"/>
              </w:rPr>
              <w:t>-21</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F9FB242">
            <w:pPr>
              <w:pStyle w:val="3"/>
              <w:keepNext w:val="0"/>
              <w:keepLines w:val="0"/>
              <w:widowControl/>
              <w:suppressLineNumbers w:val="0"/>
              <w:jc w:val="center"/>
            </w:pPr>
            <w:r>
              <w:rPr>
                <w:rFonts w:hint="eastAsia" w:ascii="仿宋_GB2312" w:eastAsia="仿宋_GB2312" w:cs="仿宋_GB2312"/>
                <w:sz w:val="21"/>
                <w:szCs w:val="21"/>
                <w:bdr w:val="none" w:color="auto" w:sz="0" w:space="0"/>
              </w:rPr>
              <w:t>27.39</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284A4E94">
            <w:pPr>
              <w:pStyle w:val="3"/>
              <w:keepNext w:val="0"/>
              <w:keepLines w:val="0"/>
              <w:widowControl/>
              <w:suppressLineNumbers w:val="0"/>
              <w:jc w:val="center"/>
            </w:pPr>
            <w:r>
              <w:rPr>
                <w:rFonts w:hint="eastAsia" w:ascii="仿宋_GB2312" w:eastAsia="仿宋_GB2312" w:cs="仿宋_GB2312"/>
                <w:sz w:val="21"/>
                <w:szCs w:val="21"/>
                <w:bdr w:val="none" w:color="auto" w:sz="0" w:space="0"/>
              </w:rPr>
              <w:t>-8.2</w:t>
            </w:r>
          </w:p>
        </w:tc>
      </w:tr>
      <w:tr w14:paraId="6F45169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25"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61CF15D8">
            <w:pPr>
              <w:pStyle w:val="3"/>
              <w:keepNext w:val="0"/>
              <w:keepLines w:val="0"/>
              <w:widowControl/>
              <w:suppressLineNumbers w:val="0"/>
              <w:spacing w:line="240" w:lineRule="atLeast"/>
              <w:ind w:left="1050" w:hanging="1050"/>
              <w:textAlignment w:val="center"/>
            </w:pPr>
            <w:r>
              <w:t>    </w:t>
            </w:r>
            <w:r>
              <w:rPr>
                <w:rFonts w:hint="eastAsia" w:ascii="仿宋_GB2312" w:eastAsia="仿宋_GB2312" w:cs="仿宋_GB2312"/>
                <w:sz w:val="21"/>
                <w:szCs w:val="21"/>
              </w:rPr>
              <w:t>其中：国有土地使用权出让收入</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053F3AA">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A02B28D">
            <w:pPr>
              <w:pStyle w:val="3"/>
              <w:keepNext w:val="0"/>
              <w:keepLines w:val="0"/>
              <w:widowControl/>
              <w:suppressLineNumbers w:val="0"/>
              <w:jc w:val="center"/>
            </w:pPr>
            <w:r>
              <w:rPr>
                <w:rFonts w:hint="eastAsia" w:ascii="仿宋_GB2312" w:eastAsia="仿宋_GB2312" w:cs="仿宋_GB2312"/>
                <w:sz w:val="21"/>
                <w:szCs w:val="21"/>
                <w:bdr w:val="none" w:color="auto" w:sz="0" w:space="0"/>
              </w:rPr>
              <w:t>31.04</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58C206D">
            <w:pPr>
              <w:pStyle w:val="3"/>
              <w:keepNext w:val="0"/>
              <w:keepLines w:val="0"/>
              <w:widowControl/>
              <w:suppressLineNumbers w:val="0"/>
              <w:jc w:val="center"/>
            </w:pPr>
            <w:r>
              <w:rPr>
                <w:rFonts w:hint="eastAsia" w:ascii="仿宋_GB2312" w:eastAsia="仿宋_GB2312" w:cs="仿宋_GB2312"/>
                <w:sz w:val="21"/>
                <w:szCs w:val="21"/>
                <w:bdr w:val="none" w:color="auto" w:sz="0" w:space="0"/>
              </w:rPr>
              <w:t>20.47</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147428C">
            <w:pPr>
              <w:pStyle w:val="3"/>
              <w:keepNext w:val="0"/>
              <w:keepLines w:val="0"/>
              <w:widowControl/>
              <w:suppressLineNumbers w:val="0"/>
              <w:jc w:val="center"/>
            </w:pPr>
            <w:r>
              <w:rPr>
                <w:rFonts w:hint="eastAsia" w:ascii="仿宋_GB2312" w:eastAsia="仿宋_GB2312" w:cs="仿宋_GB2312"/>
                <w:sz w:val="21"/>
                <w:szCs w:val="21"/>
                <w:bdr w:val="none" w:color="auto" w:sz="0" w:space="0"/>
              </w:rPr>
              <w:t>-34.1</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305A8A2">
            <w:pPr>
              <w:pStyle w:val="3"/>
              <w:keepNext w:val="0"/>
              <w:keepLines w:val="0"/>
              <w:widowControl/>
              <w:suppressLineNumbers w:val="0"/>
              <w:jc w:val="center"/>
            </w:pPr>
            <w:r>
              <w:rPr>
                <w:rFonts w:hint="eastAsia" w:ascii="仿宋_GB2312" w:eastAsia="仿宋_GB2312" w:cs="仿宋_GB2312"/>
                <w:sz w:val="21"/>
                <w:szCs w:val="21"/>
                <w:bdr w:val="none" w:color="auto" w:sz="0" w:space="0"/>
              </w:rPr>
              <w:t>20.08</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291E54BA">
            <w:pPr>
              <w:pStyle w:val="3"/>
              <w:keepNext w:val="0"/>
              <w:keepLines w:val="0"/>
              <w:widowControl/>
              <w:suppressLineNumbers w:val="0"/>
              <w:jc w:val="center"/>
            </w:pPr>
            <w:r>
              <w:rPr>
                <w:rFonts w:hint="eastAsia" w:ascii="仿宋_GB2312" w:eastAsia="仿宋_GB2312" w:cs="仿宋_GB2312"/>
                <w:sz w:val="21"/>
                <w:szCs w:val="21"/>
                <w:bdr w:val="none" w:color="auto" w:sz="0" w:space="0"/>
              </w:rPr>
              <w:t>-1.9</w:t>
            </w:r>
          </w:p>
        </w:tc>
      </w:tr>
      <w:tr w14:paraId="527E69C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3C879E0B">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国有资本经营预算收入</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D66BA2D">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1519CFF">
            <w:pPr>
              <w:pStyle w:val="3"/>
              <w:keepNext w:val="0"/>
              <w:keepLines w:val="0"/>
              <w:widowControl/>
              <w:suppressLineNumbers w:val="0"/>
              <w:jc w:val="center"/>
            </w:pPr>
            <w:r>
              <w:rPr>
                <w:rFonts w:hint="eastAsia" w:ascii="仿宋_GB2312" w:eastAsia="仿宋_GB2312" w:cs="仿宋_GB2312"/>
                <w:sz w:val="21"/>
                <w:szCs w:val="21"/>
                <w:bdr w:val="none" w:color="auto" w:sz="0" w:space="0"/>
              </w:rPr>
              <w:t>13.36</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D78357A">
            <w:pPr>
              <w:pStyle w:val="3"/>
              <w:keepNext w:val="0"/>
              <w:keepLines w:val="0"/>
              <w:widowControl/>
              <w:suppressLineNumbers w:val="0"/>
              <w:jc w:val="center"/>
            </w:pPr>
            <w:r>
              <w:rPr>
                <w:rFonts w:hint="eastAsia" w:ascii="仿宋_GB2312" w:eastAsia="仿宋_GB2312" w:cs="仿宋_GB2312"/>
                <w:sz w:val="21"/>
                <w:szCs w:val="21"/>
                <w:bdr w:val="none" w:color="auto" w:sz="0" w:space="0"/>
              </w:rPr>
              <w:t>1.37</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76124CA">
            <w:pPr>
              <w:pStyle w:val="3"/>
              <w:keepNext w:val="0"/>
              <w:keepLines w:val="0"/>
              <w:widowControl/>
              <w:suppressLineNumbers w:val="0"/>
              <w:jc w:val="center"/>
            </w:pPr>
            <w:r>
              <w:rPr>
                <w:rFonts w:hint="eastAsia" w:ascii="仿宋_GB2312" w:eastAsia="仿宋_GB2312" w:cs="仿宋_GB2312"/>
                <w:sz w:val="21"/>
                <w:szCs w:val="21"/>
                <w:bdr w:val="none" w:color="auto" w:sz="0" w:space="0"/>
              </w:rPr>
              <w:t>-89.7</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BEDEDAB">
            <w:pPr>
              <w:pStyle w:val="3"/>
              <w:keepNext w:val="0"/>
              <w:keepLines w:val="0"/>
              <w:widowControl/>
              <w:suppressLineNumbers w:val="0"/>
              <w:jc w:val="center"/>
            </w:pPr>
            <w:r>
              <w:rPr>
                <w:rFonts w:hint="eastAsia" w:ascii="仿宋_GB2312" w:eastAsia="仿宋_GB2312" w:cs="仿宋_GB2312"/>
                <w:sz w:val="21"/>
                <w:szCs w:val="21"/>
                <w:bdr w:val="none" w:color="auto" w:sz="0" w:space="0"/>
              </w:rPr>
              <w:t>0.42</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0F42C0C2">
            <w:pPr>
              <w:pStyle w:val="3"/>
              <w:keepNext w:val="0"/>
              <w:keepLines w:val="0"/>
              <w:widowControl/>
              <w:suppressLineNumbers w:val="0"/>
              <w:jc w:val="center"/>
            </w:pPr>
            <w:r>
              <w:rPr>
                <w:rFonts w:hint="eastAsia" w:ascii="仿宋_GB2312" w:eastAsia="仿宋_GB2312" w:cs="仿宋_GB2312"/>
                <w:sz w:val="21"/>
                <w:szCs w:val="21"/>
                <w:bdr w:val="none" w:color="auto" w:sz="0" w:space="0"/>
              </w:rPr>
              <w:t>-69.3</w:t>
            </w:r>
          </w:p>
        </w:tc>
      </w:tr>
      <w:tr w14:paraId="2BBCC74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7EFCFE06">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政府债务余额</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0ADDEBB">
            <w:pPr>
              <w:pStyle w:val="3"/>
              <w:keepNext w:val="0"/>
              <w:keepLines w:val="0"/>
              <w:widowControl/>
              <w:suppressLineNumbers w:val="0"/>
              <w:jc w:val="center"/>
            </w:pPr>
            <w:r>
              <w:rPr>
                <w:rFonts w:hint="eastAsia" w:ascii="仿宋_GB2312" w:eastAsia="仿宋_GB2312" w:cs="仿宋_GB2312"/>
                <w:sz w:val="21"/>
                <w:szCs w:val="21"/>
                <w:bdr w:val="none" w:color="auto" w:sz="0" w:space="0"/>
              </w:rPr>
              <w:t>亿元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DB761F1">
            <w:pPr>
              <w:pStyle w:val="3"/>
              <w:keepNext w:val="0"/>
              <w:keepLines w:val="0"/>
              <w:widowControl/>
              <w:suppressLineNumbers w:val="0"/>
              <w:jc w:val="center"/>
            </w:pPr>
            <w:r>
              <w:rPr>
                <w:rFonts w:hint="eastAsia" w:ascii="仿宋_GB2312" w:eastAsia="仿宋_GB2312" w:cs="仿宋_GB2312"/>
                <w:sz w:val="21"/>
                <w:szCs w:val="21"/>
                <w:bdr w:val="none" w:color="auto" w:sz="0" w:space="0"/>
              </w:rPr>
              <w:t>573.08</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7F030B4">
            <w:pPr>
              <w:pStyle w:val="3"/>
              <w:keepNext w:val="0"/>
              <w:keepLines w:val="0"/>
              <w:widowControl/>
              <w:suppressLineNumbers w:val="0"/>
              <w:jc w:val="center"/>
            </w:pPr>
            <w:r>
              <w:rPr>
                <w:rFonts w:hint="eastAsia" w:ascii="仿宋_GB2312" w:eastAsia="仿宋_GB2312" w:cs="仿宋_GB2312"/>
                <w:sz w:val="21"/>
                <w:szCs w:val="21"/>
                <w:bdr w:val="none" w:color="auto" w:sz="0" w:space="0"/>
              </w:rPr>
              <w:t>745.35</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32456E0">
            <w:pPr>
              <w:pStyle w:val="3"/>
              <w:keepNext w:val="0"/>
              <w:keepLines w:val="0"/>
              <w:widowControl/>
              <w:suppressLineNumbers w:val="0"/>
              <w:jc w:val="center"/>
            </w:pPr>
            <w:r>
              <w:rPr>
                <w:rFonts w:hint="eastAsia" w:ascii="仿宋_GB2312" w:eastAsia="仿宋_GB2312" w:cs="仿宋_GB2312"/>
                <w:sz w:val="21"/>
                <w:szCs w:val="21"/>
                <w:bdr w:val="none" w:color="auto" w:sz="0" w:space="0"/>
              </w:rPr>
              <w:t>30.1</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54A3C3D">
            <w:pPr>
              <w:pStyle w:val="3"/>
              <w:keepNext w:val="0"/>
              <w:keepLines w:val="0"/>
              <w:widowControl/>
              <w:suppressLineNumbers w:val="0"/>
              <w:jc w:val="center"/>
            </w:pPr>
            <w:r>
              <w:rPr>
                <w:rFonts w:hint="eastAsia" w:ascii="仿宋_GB2312" w:eastAsia="仿宋_GB2312" w:cs="仿宋_GB2312"/>
                <w:sz w:val="21"/>
                <w:szCs w:val="21"/>
                <w:bdr w:val="none" w:color="auto" w:sz="0" w:space="0"/>
              </w:rPr>
              <w:t>821.93</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5BEDA469">
            <w:pPr>
              <w:pStyle w:val="3"/>
              <w:keepNext w:val="0"/>
              <w:keepLines w:val="0"/>
              <w:widowControl/>
              <w:suppressLineNumbers w:val="0"/>
              <w:jc w:val="center"/>
            </w:pPr>
            <w:r>
              <w:rPr>
                <w:rFonts w:hint="eastAsia" w:ascii="仿宋_GB2312" w:eastAsia="仿宋_GB2312" w:cs="仿宋_GB2312"/>
                <w:sz w:val="21"/>
                <w:szCs w:val="21"/>
                <w:bdr w:val="none" w:color="auto" w:sz="0" w:space="0"/>
              </w:rPr>
              <w:t>10.3</w:t>
            </w:r>
          </w:p>
        </w:tc>
      </w:tr>
      <w:tr w14:paraId="7AC91FE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3C1533E3">
            <w:pPr>
              <w:pStyle w:val="3"/>
              <w:keepNext w:val="0"/>
              <w:keepLines w:val="0"/>
              <w:widowControl/>
              <w:suppressLineNumbers w:val="0"/>
              <w:spacing w:line="240" w:lineRule="atLeast"/>
              <w:textAlignment w:val="center"/>
            </w:pPr>
            <w:r>
              <w:rPr>
                <w:rFonts w:hint="eastAsia" w:ascii="黑体" w:hAnsi="宋体" w:eastAsia="黑体" w:cs="黑体"/>
                <w:sz w:val="21"/>
                <w:szCs w:val="21"/>
                <w:bdr w:val="none" w:color="auto" w:sz="0" w:space="0"/>
              </w:rPr>
              <w:t>二、创新驱动</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9D74B65">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6CDD93C">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8F440D0">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56EB341">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8927887">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5C703887">
            <w:pPr>
              <w:keepNext w:val="0"/>
              <w:keepLines w:val="0"/>
              <w:widowControl/>
              <w:suppressLineNumbers w:val="0"/>
              <w:jc w:val="left"/>
            </w:pPr>
          </w:p>
        </w:tc>
      </w:tr>
      <w:tr w14:paraId="66AA7E3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0578DD5C">
            <w:pPr>
              <w:pStyle w:val="3"/>
              <w:keepNext w:val="0"/>
              <w:keepLines w:val="0"/>
              <w:widowControl/>
              <w:suppressLineNumbers w:val="0"/>
              <w:spacing w:line="240" w:lineRule="atLeast"/>
              <w:ind w:left="0" w:firstLine="210"/>
              <w:textAlignment w:val="center"/>
            </w:pPr>
            <w:r>
              <w:rPr>
                <w:rFonts w:hint="eastAsia" w:ascii="仿宋_GB2312" w:eastAsia="仿宋_GB2312" w:cs="仿宋_GB2312"/>
                <w:sz w:val="21"/>
                <w:szCs w:val="21"/>
                <w:bdr w:val="none" w:color="auto" w:sz="0" w:space="0"/>
              </w:rPr>
              <w:t>全社会研发经费投入增长</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9F80D97">
            <w:pPr>
              <w:pStyle w:val="3"/>
              <w:keepNext w:val="0"/>
              <w:keepLines w:val="0"/>
              <w:widowControl/>
              <w:suppressLineNumbers w:val="0"/>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0518D3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10.5</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4FA9D0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FD736D1">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9B84B2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10</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78450106">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r>
      <w:tr w14:paraId="767CD08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585"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0309E979">
            <w:pPr>
              <w:pStyle w:val="3"/>
              <w:keepNext w:val="0"/>
              <w:keepLines w:val="0"/>
              <w:widowControl/>
              <w:suppressLineNumbers w:val="0"/>
              <w:spacing w:line="240" w:lineRule="atLeast"/>
              <w:ind w:left="240"/>
              <w:textAlignment w:val="center"/>
            </w:pPr>
            <w:r>
              <w:rPr>
                <w:rFonts w:hint="eastAsia" w:ascii="仿宋_GB2312" w:eastAsia="仿宋_GB2312" w:cs="仿宋_GB2312"/>
                <w:sz w:val="21"/>
                <w:szCs w:val="21"/>
              </w:rPr>
              <w:t>基础研究经费投入占研发经费投入比重</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28BE16F">
            <w:pPr>
              <w:pStyle w:val="3"/>
              <w:keepNext w:val="0"/>
              <w:keepLines w:val="0"/>
              <w:widowControl/>
              <w:suppressLineNumbers w:val="0"/>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69FF99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1.45</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328A4D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1.5</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3722E3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A6517DC">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1.55</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277A0A20">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r>
      <w:tr w14:paraId="4119700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4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2566C466">
            <w:pPr>
              <w:pStyle w:val="3"/>
              <w:keepNext w:val="0"/>
              <w:keepLines w:val="0"/>
              <w:widowControl/>
              <w:suppressLineNumbers w:val="0"/>
              <w:spacing w:line="240" w:lineRule="atLeast"/>
              <w:ind w:left="240"/>
              <w:textAlignment w:val="center"/>
            </w:pPr>
            <w:r>
              <w:rPr>
                <w:rFonts w:hint="eastAsia" w:ascii="仿宋_GB2312" w:eastAsia="仿宋_GB2312" w:cs="仿宋_GB2312"/>
                <w:sz w:val="21"/>
                <w:szCs w:val="21"/>
              </w:rPr>
              <w:t>每万人口高价值发明专利拥有量</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E383B13">
            <w:pPr>
              <w:pStyle w:val="3"/>
              <w:keepNext w:val="0"/>
              <w:keepLines w:val="0"/>
              <w:widowControl/>
              <w:suppressLineNumbers w:val="0"/>
              <w:jc w:val="center"/>
            </w:pPr>
            <w:r>
              <w:rPr>
                <w:rFonts w:hint="eastAsia" w:ascii="仿宋_GB2312" w:eastAsia="仿宋_GB2312" w:cs="仿宋_GB2312"/>
                <w:sz w:val="21"/>
                <w:szCs w:val="21"/>
                <w:bdr w:val="none" w:color="auto" w:sz="0" w:space="0"/>
              </w:rPr>
              <w:t>件</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4D0CD8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2.99</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F13358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3.68</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C8598D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23.1</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AA89BE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4.1</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4171F9CA">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11.4</w:t>
            </w:r>
          </w:p>
        </w:tc>
      </w:tr>
      <w:tr w14:paraId="4AB5B9C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54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200499E9">
            <w:pPr>
              <w:pStyle w:val="3"/>
              <w:keepNext w:val="0"/>
              <w:keepLines w:val="0"/>
              <w:widowControl/>
              <w:suppressLineNumbers w:val="0"/>
              <w:spacing w:line="240" w:lineRule="atLeast"/>
              <w:ind w:left="210" w:hanging="210"/>
              <w:textAlignment w:val="center"/>
            </w:pPr>
            <w:r>
              <w:t>  </w:t>
            </w:r>
            <w:r>
              <w:rPr>
                <w:rFonts w:hint="eastAsia" w:ascii="仿宋_GB2312" w:eastAsia="仿宋_GB2312" w:cs="仿宋_GB2312"/>
                <w:sz w:val="21"/>
                <w:szCs w:val="21"/>
              </w:rPr>
              <w:t>有R&amp;D活动规上工业企业所占比重</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2095290">
            <w:pPr>
              <w:pStyle w:val="3"/>
              <w:keepNext w:val="0"/>
              <w:keepLines w:val="0"/>
              <w:widowControl/>
              <w:suppressLineNumbers w:val="0"/>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E297E8B">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27</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4CD214B">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28.5</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6B08419">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307A99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30</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4D494B75">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r>
      <w:tr w14:paraId="5EC36D0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57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215FC8EB">
            <w:pPr>
              <w:pStyle w:val="3"/>
              <w:keepNext w:val="0"/>
              <w:keepLines w:val="0"/>
              <w:widowControl/>
              <w:suppressLineNumbers w:val="0"/>
              <w:spacing w:line="240" w:lineRule="atLeast"/>
              <w:ind w:left="240"/>
              <w:textAlignment w:val="center"/>
            </w:pPr>
            <w:r>
              <w:rPr>
                <w:rFonts w:hint="eastAsia" w:ascii="仿宋_GB2312" w:eastAsia="仿宋_GB2312" w:cs="仿宋_GB2312"/>
                <w:sz w:val="21"/>
                <w:szCs w:val="21"/>
              </w:rPr>
              <w:t>每万家企业法人中高新技术企业数</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E134E4A">
            <w:pPr>
              <w:pStyle w:val="3"/>
              <w:keepNext w:val="0"/>
              <w:keepLines w:val="0"/>
              <w:widowControl/>
              <w:suppressLineNumbers w:val="0"/>
              <w:jc w:val="center"/>
            </w:pPr>
            <w:r>
              <w:rPr>
                <w:rFonts w:hint="eastAsia" w:ascii="仿宋_GB2312" w:eastAsia="仿宋_GB2312" w:cs="仿宋_GB2312"/>
                <w:sz w:val="21"/>
                <w:szCs w:val="21"/>
                <w:bdr w:val="none" w:color="auto" w:sz="0" w:space="0"/>
              </w:rPr>
              <w:t>家</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7D63AC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95</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B5FBD16">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100</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0E3950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5.3</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DFF81B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102</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3486BE3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w:t>
            </w:r>
          </w:p>
        </w:tc>
      </w:tr>
      <w:tr w14:paraId="7B793A0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793A5F99">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5G用户普及率</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1E686E0">
            <w:pPr>
              <w:pStyle w:val="3"/>
              <w:keepNext w:val="0"/>
              <w:keepLines w:val="0"/>
              <w:widowControl/>
              <w:suppressLineNumbers w:val="0"/>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B57719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62.4</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FCA831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76.2</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1EFAE31">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22.1</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EB9CD19">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80</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252AC560">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w:t>
            </w:r>
          </w:p>
        </w:tc>
      </w:tr>
      <w:tr w14:paraId="3D6C53C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585336F1">
            <w:pPr>
              <w:pStyle w:val="3"/>
              <w:keepNext w:val="0"/>
              <w:keepLines w:val="0"/>
              <w:widowControl/>
              <w:suppressLineNumbers w:val="0"/>
              <w:spacing w:line="240" w:lineRule="atLeast"/>
              <w:textAlignment w:val="center"/>
            </w:pPr>
            <w:r>
              <w:rPr>
                <w:rFonts w:hint="eastAsia" w:ascii="黑体" w:hAnsi="宋体" w:eastAsia="黑体" w:cs="黑体"/>
                <w:sz w:val="21"/>
                <w:szCs w:val="21"/>
                <w:bdr w:val="none" w:color="auto" w:sz="0" w:space="0"/>
              </w:rPr>
              <w:t>三、民生福祉</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31393CB">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FCAE2EB">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7318522">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711CE95">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394E6CD">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6C38E13B">
            <w:pPr>
              <w:keepNext w:val="0"/>
              <w:keepLines w:val="0"/>
              <w:widowControl/>
              <w:suppressLineNumbers w:val="0"/>
              <w:jc w:val="left"/>
            </w:pPr>
          </w:p>
        </w:tc>
      </w:tr>
      <w:tr w14:paraId="0935BEC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60207B47">
            <w:pPr>
              <w:pStyle w:val="3"/>
              <w:keepNext w:val="0"/>
              <w:keepLines w:val="0"/>
              <w:widowControl/>
              <w:suppressLineNumbers w:val="0"/>
              <w:spacing w:line="240" w:lineRule="atLeast"/>
              <w:textAlignment w:val="center"/>
            </w:pPr>
            <w:r>
              <w:rPr>
                <w:rStyle w:val="6"/>
                <w:rFonts w:hint="eastAsia" w:ascii="楷体_GB2312" w:eastAsia="楷体_GB2312" w:cs="楷体_GB2312"/>
                <w:sz w:val="21"/>
                <w:szCs w:val="21"/>
                <w:bdr w:val="none" w:color="auto" w:sz="0" w:space="0"/>
              </w:rPr>
              <w:t>就业</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CB6CBF4">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9CD24DC">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8ADE154">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69F359F">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210D032">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314EA776">
            <w:pPr>
              <w:keepNext w:val="0"/>
              <w:keepLines w:val="0"/>
              <w:widowControl/>
              <w:suppressLineNumbers w:val="0"/>
              <w:jc w:val="left"/>
            </w:pPr>
          </w:p>
        </w:tc>
      </w:tr>
      <w:tr w14:paraId="2D18A3C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15153E8F">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城镇新增就业人数</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02711B9">
            <w:pPr>
              <w:pStyle w:val="3"/>
              <w:keepNext w:val="0"/>
              <w:keepLines w:val="0"/>
              <w:widowControl/>
              <w:suppressLineNumbers w:val="0"/>
              <w:jc w:val="center"/>
            </w:pPr>
            <w:r>
              <w:rPr>
                <w:rFonts w:hint="eastAsia" w:ascii="仿宋_GB2312" w:eastAsia="仿宋_GB2312" w:cs="仿宋_GB2312"/>
                <w:sz w:val="21"/>
                <w:szCs w:val="21"/>
                <w:bdr w:val="none" w:color="auto" w:sz="0" w:space="0"/>
              </w:rPr>
              <w:t>万人</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CEDB7B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5.38</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3BE248B">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4.4</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77FE95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EFF8BAF">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4.3</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72F3EE0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r>
      <w:tr w14:paraId="14B377F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7C58CC95">
            <w:pPr>
              <w:pStyle w:val="3"/>
              <w:keepNext w:val="0"/>
              <w:keepLines w:val="0"/>
              <w:widowControl/>
              <w:suppressLineNumbers w:val="0"/>
              <w:spacing w:line="240" w:lineRule="atLeast"/>
              <w:textAlignment w:val="center"/>
            </w:pPr>
            <w:r>
              <w:rPr>
                <w:rStyle w:val="6"/>
                <w:rFonts w:hint="eastAsia" w:ascii="楷体_GB2312" w:eastAsia="楷体_GB2312" w:cs="楷体_GB2312"/>
                <w:sz w:val="21"/>
                <w:szCs w:val="21"/>
                <w:bdr w:val="none" w:color="auto" w:sz="0" w:space="0"/>
              </w:rPr>
              <w:t>居民收入</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CDF8A60">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34BE40C">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85DADE9">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AC2E90D">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BA1F8B8">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63ED9554">
            <w:pPr>
              <w:keepNext w:val="0"/>
              <w:keepLines w:val="0"/>
              <w:widowControl/>
              <w:suppressLineNumbers w:val="0"/>
              <w:jc w:val="left"/>
            </w:pPr>
          </w:p>
        </w:tc>
      </w:tr>
      <w:tr w14:paraId="5E2BD45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4E846136">
            <w:pPr>
              <w:pStyle w:val="3"/>
              <w:keepNext w:val="0"/>
              <w:keepLines w:val="0"/>
              <w:widowControl/>
              <w:suppressLineNumbers w:val="0"/>
              <w:spacing w:line="240" w:lineRule="atLeast"/>
              <w:textAlignment w:val="center"/>
            </w:pPr>
            <w:r>
              <w:rPr>
                <w:rFonts w:hint="eastAsia" w:ascii="仿宋_GB2312" w:eastAsia="仿宋_GB2312" w:cs="仿宋_GB2312"/>
                <w:sz w:val="21"/>
                <w:szCs w:val="21"/>
                <w:bdr w:val="none" w:color="auto" w:sz="0" w:space="0"/>
              </w:rPr>
              <w:t>  城镇居民人均可支配收入</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9D634CE">
            <w:pPr>
              <w:pStyle w:val="3"/>
              <w:keepNext w:val="0"/>
              <w:keepLines w:val="0"/>
              <w:widowControl/>
              <w:suppressLineNumbers w:val="0"/>
              <w:jc w:val="center"/>
            </w:pPr>
            <w:r>
              <w:rPr>
                <w:rFonts w:hint="eastAsia" w:ascii="仿宋_GB2312" w:eastAsia="仿宋_GB2312" w:cs="仿宋_GB2312"/>
                <w:sz w:val="21"/>
                <w:szCs w:val="21"/>
                <w:bdr w:val="none" w:color="auto" w:sz="0" w:space="0"/>
              </w:rPr>
              <w:t>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9D3A1E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44520</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F3937C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46553</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C4D0B08">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4.6</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69B8C58">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48881</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38D1763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5</w:t>
            </w:r>
          </w:p>
        </w:tc>
      </w:tr>
      <w:tr w14:paraId="56FB3A5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191C39C7">
            <w:pPr>
              <w:pStyle w:val="3"/>
              <w:keepNext w:val="0"/>
              <w:keepLines w:val="0"/>
              <w:widowControl/>
              <w:suppressLineNumbers w:val="0"/>
              <w:spacing w:line="240" w:lineRule="atLeast"/>
              <w:ind w:left="0" w:firstLine="210"/>
              <w:textAlignment w:val="center"/>
            </w:pPr>
            <w:r>
              <w:rPr>
                <w:rFonts w:hint="eastAsia" w:ascii="仿宋_GB2312" w:eastAsia="仿宋_GB2312" w:cs="仿宋_GB2312"/>
                <w:sz w:val="21"/>
                <w:szCs w:val="21"/>
                <w:bdr w:val="none" w:color="auto" w:sz="0" w:space="0"/>
              </w:rPr>
              <w:t>农村居民人均可支配收入</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E5F86C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元</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D366354">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19431</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6F1A8B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20588</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CF0FD7C">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62F37A1">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21926</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07823111">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6.5</w:t>
            </w:r>
          </w:p>
        </w:tc>
      </w:tr>
      <w:tr w14:paraId="68FCBB3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1E4BF63B">
            <w:pPr>
              <w:pStyle w:val="3"/>
              <w:keepNext w:val="0"/>
              <w:keepLines w:val="0"/>
              <w:widowControl/>
              <w:suppressLineNumbers w:val="0"/>
              <w:spacing w:line="240" w:lineRule="atLeast"/>
              <w:textAlignment w:val="center"/>
            </w:pPr>
            <w:r>
              <w:rPr>
                <w:rStyle w:val="6"/>
                <w:rFonts w:hint="eastAsia" w:ascii="楷体_GB2312" w:eastAsia="楷体_GB2312" w:cs="楷体_GB2312"/>
                <w:sz w:val="21"/>
                <w:szCs w:val="21"/>
                <w:bdr w:val="none" w:color="auto" w:sz="0" w:space="0"/>
              </w:rPr>
              <w:t>人口</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1318A81">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83B1E08">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A60B9BE">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4E0B963">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DBEBE67">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440AFDAF">
            <w:pPr>
              <w:keepNext w:val="0"/>
              <w:keepLines w:val="0"/>
              <w:widowControl/>
              <w:suppressLineNumbers w:val="0"/>
              <w:jc w:val="left"/>
            </w:pPr>
          </w:p>
        </w:tc>
      </w:tr>
      <w:tr w14:paraId="3D9F9C9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585"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040F40DF">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年末总人口</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C77D810">
            <w:pPr>
              <w:pStyle w:val="3"/>
              <w:keepNext w:val="0"/>
              <w:keepLines w:val="0"/>
              <w:widowControl/>
              <w:suppressLineNumbers w:val="0"/>
              <w:jc w:val="center"/>
            </w:pPr>
            <w:r>
              <w:rPr>
                <w:rFonts w:hint="eastAsia" w:ascii="仿宋_GB2312" w:eastAsia="仿宋_GB2312" w:cs="仿宋_GB2312"/>
                <w:sz w:val="21"/>
                <w:szCs w:val="21"/>
                <w:bdr w:val="none" w:color="auto" w:sz="0" w:space="0"/>
              </w:rPr>
              <w:t>万人</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0C0019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325.37</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1B33C8A">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321.56</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CF3E5D6">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BE88BF9">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平稳</w:t>
            </w:r>
          </w:p>
          <w:p w14:paraId="4928D60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发展</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64DC5E69">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r>
      <w:tr w14:paraId="74E8EBC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54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4C5CEF5D">
            <w:pPr>
              <w:pStyle w:val="3"/>
              <w:keepNext w:val="0"/>
              <w:keepLines w:val="0"/>
              <w:widowControl/>
              <w:suppressLineNumbers w:val="0"/>
              <w:spacing w:line="240" w:lineRule="atLeast"/>
              <w:ind w:left="240"/>
              <w:textAlignment w:val="center"/>
            </w:pPr>
            <w:r>
              <w:rPr>
                <w:rFonts w:hint="eastAsia" w:ascii="仿宋_GB2312" w:eastAsia="仿宋_GB2312" w:cs="仿宋_GB2312"/>
                <w:sz w:val="21"/>
                <w:szCs w:val="21"/>
              </w:rPr>
              <w:t>每千人口拥有3岁以下婴幼儿托位数</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749F45C">
            <w:pPr>
              <w:pStyle w:val="3"/>
              <w:keepNext w:val="0"/>
              <w:keepLines w:val="0"/>
              <w:widowControl/>
              <w:suppressLineNumbers w:val="0"/>
              <w:jc w:val="center"/>
            </w:pPr>
            <w:r>
              <w:rPr>
                <w:rFonts w:hint="eastAsia" w:ascii="仿宋_GB2312" w:eastAsia="仿宋_GB2312" w:cs="仿宋_GB2312"/>
                <w:sz w:val="21"/>
                <w:szCs w:val="21"/>
                <w:bdr w:val="none" w:color="auto" w:sz="0" w:space="0"/>
              </w:rPr>
              <w:t>个</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88FF15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4.02</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64B738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4.79</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91BEF00">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19.2</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E223B59">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5A3BFA8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r>
      <w:tr w14:paraId="3EA12C7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7829D8EA">
            <w:pPr>
              <w:pStyle w:val="3"/>
              <w:keepNext w:val="0"/>
              <w:keepLines w:val="0"/>
              <w:widowControl/>
              <w:suppressLineNumbers w:val="0"/>
              <w:spacing w:line="240" w:lineRule="atLeast"/>
              <w:textAlignment w:val="center"/>
            </w:pPr>
            <w:r>
              <w:rPr>
                <w:rStyle w:val="6"/>
                <w:rFonts w:hint="eastAsia" w:ascii="楷体_GB2312" w:eastAsia="楷体_GB2312" w:cs="楷体_GB2312"/>
                <w:sz w:val="21"/>
                <w:szCs w:val="21"/>
                <w:bdr w:val="none" w:color="auto" w:sz="0" w:space="0"/>
              </w:rPr>
              <w:t>社会保障</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51CAEA2">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B5109E3">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D9A59FD">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71A7311">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D9F11CA">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530ABEE3">
            <w:pPr>
              <w:keepNext w:val="0"/>
              <w:keepLines w:val="0"/>
              <w:widowControl/>
              <w:suppressLineNumbers w:val="0"/>
              <w:jc w:val="left"/>
            </w:pPr>
          </w:p>
        </w:tc>
      </w:tr>
      <w:tr w14:paraId="63243B8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10066D1F">
            <w:pPr>
              <w:pStyle w:val="3"/>
              <w:keepNext w:val="0"/>
              <w:keepLines w:val="0"/>
              <w:widowControl/>
              <w:suppressLineNumbers w:val="0"/>
              <w:spacing w:line="285" w:lineRule="atLeast"/>
              <w:textAlignment w:val="center"/>
            </w:pPr>
            <w:r>
              <w:rPr>
                <w:bdr w:val="none" w:color="auto" w:sz="0" w:space="0"/>
              </w:rPr>
              <w:t>  </w:t>
            </w:r>
            <w:r>
              <w:rPr>
                <w:rFonts w:hint="eastAsia" w:ascii="仿宋_GB2312" w:eastAsia="仿宋_GB2312" w:cs="仿宋_GB2312"/>
                <w:sz w:val="21"/>
                <w:szCs w:val="21"/>
                <w:bdr w:val="none" w:color="auto" w:sz="0" w:space="0"/>
              </w:rPr>
              <w:t>参加基本养老保险人数</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9C298B0">
            <w:pPr>
              <w:pStyle w:val="3"/>
              <w:keepNext w:val="0"/>
              <w:keepLines w:val="0"/>
              <w:widowControl/>
              <w:suppressLineNumbers w:val="0"/>
              <w:jc w:val="center"/>
            </w:pPr>
            <w:r>
              <w:rPr>
                <w:rFonts w:hint="eastAsia" w:ascii="仿宋_GB2312" w:eastAsia="仿宋_GB2312" w:cs="仿宋_GB2312"/>
                <w:sz w:val="21"/>
                <w:szCs w:val="21"/>
                <w:bdr w:val="none" w:color="auto" w:sz="0" w:space="0"/>
              </w:rPr>
              <w:t>万人</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868F1A1">
            <w:pPr>
              <w:pStyle w:val="3"/>
              <w:keepNext w:val="0"/>
              <w:keepLines w:val="0"/>
              <w:widowControl/>
              <w:suppressLineNumbers w:val="0"/>
              <w:spacing w:line="285" w:lineRule="atLeast"/>
              <w:jc w:val="center"/>
            </w:pPr>
            <w:r>
              <w:rPr>
                <w:rFonts w:hint="eastAsia" w:ascii="仿宋_GB2312" w:eastAsia="仿宋_GB2312" w:cs="仿宋_GB2312"/>
                <w:sz w:val="21"/>
                <w:szCs w:val="21"/>
                <w:bdr w:val="none" w:color="auto" w:sz="0" w:space="0"/>
              </w:rPr>
              <w:t>256.31</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D518368">
            <w:pPr>
              <w:pStyle w:val="3"/>
              <w:keepNext w:val="0"/>
              <w:keepLines w:val="0"/>
              <w:widowControl/>
              <w:suppressLineNumbers w:val="0"/>
              <w:spacing w:line="285" w:lineRule="atLeast"/>
              <w:jc w:val="center"/>
            </w:pPr>
            <w:r>
              <w:rPr>
                <w:rFonts w:hint="eastAsia" w:ascii="仿宋_GB2312" w:eastAsia="仿宋_GB2312" w:cs="仿宋_GB2312"/>
                <w:sz w:val="21"/>
                <w:szCs w:val="21"/>
                <w:bdr w:val="none" w:color="auto" w:sz="0" w:space="0"/>
              </w:rPr>
              <w:t>257.23</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B4224BC">
            <w:pPr>
              <w:pStyle w:val="3"/>
              <w:keepNext w:val="0"/>
              <w:keepLines w:val="0"/>
              <w:widowControl/>
              <w:suppressLineNumbers w:val="0"/>
              <w:spacing w:line="285" w:lineRule="atLeast"/>
              <w:jc w:val="center"/>
            </w:pPr>
            <w:r>
              <w:rPr>
                <w:rFonts w:hint="eastAsia" w:ascii="仿宋_GB2312" w:eastAsia="仿宋_GB2312" w:cs="仿宋_GB2312"/>
                <w:sz w:val="21"/>
                <w:szCs w:val="21"/>
                <w:bdr w:val="none" w:color="auto" w:sz="0" w:space="0"/>
              </w:rPr>
              <w:t>0.4</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2FD4097">
            <w:pPr>
              <w:pStyle w:val="3"/>
              <w:keepNext w:val="0"/>
              <w:keepLines w:val="0"/>
              <w:widowControl/>
              <w:suppressLineNumbers w:val="0"/>
              <w:spacing w:line="285" w:lineRule="atLeast"/>
              <w:jc w:val="center"/>
            </w:pPr>
            <w:r>
              <w:rPr>
                <w:rFonts w:hint="eastAsia" w:ascii="仿宋_GB2312" w:eastAsia="仿宋_GB2312" w:cs="仿宋_GB2312"/>
                <w:sz w:val="21"/>
                <w:szCs w:val="21"/>
                <w:bdr w:val="none" w:color="auto" w:sz="0" w:space="0"/>
              </w:rPr>
              <w:t>256.34</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6015688E">
            <w:pPr>
              <w:pStyle w:val="3"/>
              <w:keepNext w:val="0"/>
              <w:keepLines w:val="0"/>
              <w:widowControl/>
              <w:suppressLineNumbers w:val="0"/>
              <w:spacing w:line="285" w:lineRule="atLeast"/>
              <w:jc w:val="center"/>
            </w:pPr>
            <w:r>
              <w:rPr>
                <w:rFonts w:hint="eastAsia" w:ascii="仿宋_GB2312" w:eastAsia="仿宋_GB2312" w:cs="仿宋_GB2312"/>
                <w:sz w:val="21"/>
                <w:szCs w:val="21"/>
                <w:bdr w:val="none" w:color="auto" w:sz="0" w:space="0"/>
              </w:rPr>
              <w:t>—</w:t>
            </w:r>
          </w:p>
        </w:tc>
      </w:tr>
      <w:tr w14:paraId="4CB2628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163D3255">
            <w:pPr>
              <w:pStyle w:val="3"/>
              <w:keepNext w:val="0"/>
              <w:keepLines w:val="0"/>
              <w:widowControl/>
              <w:suppressLineNumbers w:val="0"/>
              <w:spacing w:line="240" w:lineRule="atLeast"/>
              <w:textAlignment w:val="center"/>
            </w:pPr>
            <w:r>
              <w:rPr>
                <w:rStyle w:val="6"/>
                <w:rFonts w:hint="eastAsia" w:ascii="楷体_GB2312" w:eastAsia="楷体_GB2312" w:cs="楷体_GB2312"/>
                <w:sz w:val="21"/>
                <w:szCs w:val="21"/>
                <w:bdr w:val="none" w:color="auto" w:sz="0" w:space="0"/>
              </w:rPr>
              <w:t>保障性住房</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BE0AC9B">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F1AE790">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1F552032">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2FCFF2D4">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13F7915">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7C06BB00">
            <w:pPr>
              <w:keepNext w:val="0"/>
              <w:keepLines w:val="0"/>
              <w:widowControl/>
              <w:suppressLineNumbers w:val="0"/>
              <w:jc w:val="left"/>
            </w:pPr>
          </w:p>
        </w:tc>
      </w:tr>
      <w:tr w14:paraId="6E22ED2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2CFDEF53">
            <w:pPr>
              <w:pStyle w:val="3"/>
              <w:keepNext w:val="0"/>
              <w:keepLines w:val="0"/>
              <w:widowControl/>
              <w:suppressLineNumbers w:val="0"/>
              <w:spacing w:line="240" w:lineRule="atLeast"/>
              <w:textAlignment w:val="center"/>
            </w:pPr>
            <w:r>
              <w:rPr>
                <w:bdr w:val="none" w:color="auto" w:sz="0" w:space="0"/>
              </w:rPr>
              <w:t>  </w:t>
            </w:r>
            <w:r>
              <w:rPr>
                <w:rFonts w:hint="eastAsia" w:ascii="仿宋_GB2312" w:eastAsia="仿宋_GB2312" w:cs="仿宋_GB2312"/>
                <w:sz w:val="21"/>
                <w:szCs w:val="21"/>
                <w:bdr w:val="none" w:color="auto" w:sz="0" w:space="0"/>
              </w:rPr>
              <w:t>城镇老旧小区改造</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2B98A55">
            <w:pPr>
              <w:pStyle w:val="3"/>
              <w:keepNext w:val="0"/>
              <w:keepLines w:val="0"/>
              <w:widowControl/>
              <w:suppressLineNumbers w:val="0"/>
              <w:jc w:val="center"/>
            </w:pPr>
            <w:r>
              <w:rPr>
                <w:rFonts w:hint="eastAsia" w:ascii="仿宋_GB2312" w:eastAsia="仿宋_GB2312" w:cs="仿宋_GB2312"/>
                <w:sz w:val="21"/>
                <w:szCs w:val="21"/>
                <w:bdr w:val="none" w:color="auto" w:sz="0" w:space="0"/>
              </w:rPr>
              <w:t>万户</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06B5FD3">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8.413</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34FBE4C">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2.68</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5865F13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-68.1</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4630527">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4.535</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18F84BA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69.2</w:t>
            </w:r>
          </w:p>
        </w:tc>
      </w:tr>
      <w:tr w14:paraId="4B749F8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798E537E">
            <w:pPr>
              <w:pStyle w:val="3"/>
              <w:keepNext w:val="0"/>
              <w:keepLines w:val="0"/>
              <w:widowControl/>
              <w:suppressLineNumbers w:val="0"/>
              <w:spacing w:line="240" w:lineRule="atLeast"/>
              <w:textAlignment w:val="center"/>
            </w:pPr>
            <w:r>
              <w:rPr>
                <w:rFonts w:hint="eastAsia" w:ascii="黑体" w:hAnsi="宋体" w:eastAsia="黑体" w:cs="黑体"/>
                <w:sz w:val="21"/>
                <w:szCs w:val="21"/>
                <w:bdr w:val="none" w:color="auto" w:sz="0" w:space="0"/>
              </w:rPr>
              <w:t>四、粮食生产</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564DD7A">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A55991E">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FF754AE">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6A351A00">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B6B64E2">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5C225D21">
            <w:pPr>
              <w:keepNext w:val="0"/>
              <w:keepLines w:val="0"/>
              <w:widowControl/>
              <w:suppressLineNumbers w:val="0"/>
              <w:jc w:val="left"/>
            </w:pPr>
          </w:p>
        </w:tc>
      </w:tr>
      <w:tr w14:paraId="5EE0CFF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60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3265D37C">
            <w:pPr>
              <w:pStyle w:val="3"/>
              <w:keepNext w:val="0"/>
              <w:keepLines w:val="0"/>
              <w:widowControl/>
              <w:suppressLineNumbers w:val="0"/>
              <w:spacing w:line="240" w:lineRule="atLeast"/>
              <w:ind w:left="0" w:firstLine="210"/>
              <w:textAlignment w:val="center"/>
            </w:pPr>
            <w:r>
              <w:rPr>
                <w:rFonts w:hint="eastAsia" w:ascii="仿宋_GB2312" w:eastAsia="仿宋_GB2312" w:cs="仿宋_GB2312"/>
                <w:sz w:val="21"/>
                <w:szCs w:val="21"/>
                <w:bdr w:val="none" w:color="auto" w:sz="0" w:space="0"/>
              </w:rPr>
              <w:t>粮食产量</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E5E63DF">
            <w:pPr>
              <w:pStyle w:val="3"/>
              <w:keepNext w:val="0"/>
              <w:keepLines w:val="0"/>
              <w:widowControl/>
              <w:suppressLineNumbers w:val="0"/>
              <w:jc w:val="center"/>
            </w:pPr>
            <w:r>
              <w:rPr>
                <w:rFonts w:hint="eastAsia" w:ascii="仿宋_GB2312" w:eastAsia="仿宋_GB2312" w:cs="仿宋_GB2312"/>
                <w:sz w:val="21"/>
                <w:szCs w:val="21"/>
                <w:bdr w:val="none" w:color="auto" w:sz="0" w:space="0"/>
              </w:rPr>
              <w:t>万吨</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9709D26">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149.11</w:t>
            </w: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C02175B">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146.94</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C065135">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7D3C1364">
            <w:pPr>
              <w:pStyle w:val="3"/>
              <w:keepNext w:val="0"/>
              <w:keepLines w:val="0"/>
              <w:widowControl/>
              <w:suppressLineNumbers w:val="0"/>
              <w:spacing w:line="285" w:lineRule="atLeast"/>
              <w:jc w:val="center"/>
            </w:pPr>
            <w:r>
              <w:rPr>
                <w:rFonts w:hint="eastAsia" w:ascii="仿宋_GB2312" w:eastAsia="仿宋_GB2312" w:cs="仿宋_GB2312"/>
                <w:sz w:val="21"/>
                <w:szCs w:val="21"/>
                <w:bdr w:val="none" w:color="auto" w:sz="0" w:space="0"/>
              </w:rPr>
              <w:t>完成省上下达任务</w:t>
            </w: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411EDD22">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r>
      <w:tr w14:paraId="79D1FDA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trHeight w:val="450" w:hRule="atLeast"/>
        </w:trPr>
        <w:tc>
          <w:tcPr>
            <w:tcW w:w="3480" w:type="dxa"/>
            <w:tcBorders>
              <w:top w:val="single" w:color="auto" w:sz="6" w:space="0"/>
              <w:left w:val="single" w:color="auto" w:sz="12" w:space="0"/>
              <w:bottom w:val="single" w:color="auto" w:sz="6" w:space="0"/>
              <w:right w:val="single" w:color="auto" w:sz="6" w:space="0"/>
            </w:tcBorders>
            <w:shd w:val="clear"/>
            <w:tcMar>
              <w:top w:w="15" w:type="dxa"/>
              <w:left w:w="15" w:type="dxa"/>
              <w:right w:w="15" w:type="dxa"/>
            </w:tcMar>
            <w:vAlign w:val="center"/>
          </w:tcPr>
          <w:p w14:paraId="7527DDBC">
            <w:pPr>
              <w:pStyle w:val="3"/>
              <w:keepNext w:val="0"/>
              <w:keepLines w:val="0"/>
              <w:widowControl/>
              <w:suppressLineNumbers w:val="0"/>
              <w:spacing w:line="240" w:lineRule="atLeast"/>
              <w:textAlignment w:val="center"/>
            </w:pPr>
            <w:r>
              <w:rPr>
                <w:rFonts w:hint="eastAsia" w:ascii="黑体" w:hAnsi="宋体" w:eastAsia="黑体" w:cs="黑体"/>
                <w:sz w:val="21"/>
                <w:szCs w:val="21"/>
                <w:bdr w:val="none" w:color="auto" w:sz="0" w:space="0"/>
              </w:rPr>
              <w:t>五、资源节约和环境保护</w:t>
            </w:r>
          </w:p>
        </w:tc>
        <w:tc>
          <w:tcPr>
            <w:tcW w:w="75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084AE16">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031DDBC">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4F8F6A8C">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0DAC670F">
            <w:pPr>
              <w:keepNext w:val="0"/>
              <w:keepLines w:val="0"/>
              <w:widowControl/>
              <w:suppressLineNumbers w:val="0"/>
              <w:jc w:val="left"/>
            </w:pPr>
          </w:p>
        </w:tc>
        <w:tc>
          <w:tcPr>
            <w:tcW w:w="900" w:type="dxa"/>
            <w:tcBorders>
              <w:top w:val="single" w:color="auto" w:sz="6" w:space="0"/>
              <w:left w:val="single" w:color="auto" w:sz="6" w:space="0"/>
              <w:bottom w:val="single" w:color="auto" w:sz="6" w:space="0"/>
              <w:right w:val="single" w:color="auto" w:sz="6" w:space="0"/>
            </w:tcBorders>
            <w:shd w:val="clear"/>
            <w:tcMar>
              <w:top w:w="15" w:type="dxa"/>
              <w:left w:w="15" w:type="dxa"/>
              <w:right w:w="15" w:type="dxa"/>
            </w:tcMar>
            <w:vAlign w:val="center"/>
          </w:tcPr>
          <w:p w14:paraId="3BA0BA14">
            <w:pPr>
              <w:keepNext w:val="0"/>
              <w:keepLines w:val="0"/>
              <w:widowControl/>
              <w:suppressLineNumbers w:val="0"/>
              <w:jc w:val="left"/>
            </w:pPr>
          </w:p>
        </w:tc>
        <w:tc>
          <w:tcPr>
            <w:tcW w:w="960" w:type="dxa"/>
            <w:tcBorders>
              <w:top w:val="single" w:color="auto" w:sz="6" w:space="0"/>
              <w:left w:val="single" w:color="auto" w:sz="6" w:space="0"/>
              <w:bottom w:val="single" w:color="auto" w:sz="6" w:space="0"/>
              <w:right w:val="single" w:color="auto" w:sz="12" w:space="0"/>
            </w:tcBorders>
            <w:shd w:val="clear"/>
            <w:tcMar>
              <w:top w:w="15" w:type="dxa"/>
              <w:left w:w="15" w:type="dxa"/>
              <w:right w:w="15" w:type="dxa"/>
            </w:tcMar>
            <w:vAlign w:val="center"/>
          </w:tcPr>
          <w:p w14:paraId="55E2EE3A">
            <w:pPr>
              <w:keepNext w:val="0"/>
              <w:keepLines w:val="0"/>
              <w:widowControl/>
              <w:suppressLineNumbers w:val="0"/>
              <w:jc w:val="left"/>
            </w:pPr>
          </w:p>
        </w:tc>
      </w:tr>
      <w:tr w14:paraId="3ECF541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660" w:hRule="atLeast"/>
        </w:trPr>
        <w:tc>
          <w:tcPr>
            <w:tcW w:w="3480" w:type="dxa"/>
            <w:tcBorders>
              <w:top w:val="single" w:color="auto" w:sz="6" w:space="0"/>
              <w:left w:val="single" w:color="auto" w:sz="12" w:space="0"/>
              <w:bottom w:val="single" w:color="auto" w:sz="12" w:space="0"/>
              <w:right w:val="single" w:color="auto" w:sz="6" w:space="0"/>
            </w:tcBorders>
            <w:shd w:val="clear"/>
            <w:tcMar>
              <w:top w:w="15" w:type="dxa"/>
              <w:left w:w="15" w:type="dxa"/>
              <w:right w:w="15" w:type="dxa"/>
            </w:tcMar>
            <w:vAlign w:val="center"/>
          </w:tcPr>
          <w:p w14:paraId="01955C5D">
            <w:pPr>
              <w:pStyle w:val="3"/>
              <w:keepNext w:val="0"/>
              <w:keepLines w:val="0"/>
              <w:widowControl/>
              <w:suppressLineNumbers w:val="0"/>
              <w:spacing w:line="240" w:lineRule="atLeast"/>
              <w:ind w:left="0" w:firstLine="210"/>
              <w:textAlignment w:val="center"/>
            </w:pPr>
            <w:r>
              <w:rPr>
                <w:rFonts w:hint="eastAsia" w:ascii="仿宋_GB2312" w:eastAsia="仿宋_GB2312" w:cs="仿宋_GB2312"/>
                <w:sz w:val="21"/>
                <w:szCs w:val="21"/>
                <w:bdr w:val="none" w:color="auto" w:sz="0" w:space="0"/>
              </w:rPr>
              <w:t>单位生产总值二氧化碳降低</w:t>
            </w:r>
          </w:p>
        </w:tc>
        <w:tc>
          <w:tcPr>
            <w:tcW w:w="750" w:type="dxa"/>
            <w:tcBorders>
              <w:top w:val="single" w:color="auto" w:sz="6" w:space="0"/>
              <w:left w:val="single" w:color="auto" w:sz="6" w:space="0"/>
              <w:bottom w:val="single" w:color="auto" w:sz="12" w:space="0"/>
              <w:right w:val="single" w:color="auto" w:sz="6" w:space="0"/>
            </w:tcBorders>
            <w:shd w:val="clear"/>
            <w:tcMar>
              <w:top w:w="15" w:type="dxa"/>
              <w:left w:w="15" w:type="dxa"/>
              <w:right w:w="15" w:type="dxa"/>
            </w:tcMar>
            <w:vAlign w:val="center"/>
          </w:tcPr>
          <w:p w14:paraId="2B7628EF">
            <w:pPr>
              <w:pStyle w:val="3"/>
              <w:keepNext w:val="0"/>
              <w:keepLines w:val="0"/>
              <w:widowControl/>
              <w:suppressLineNumbers w:val="0"/>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12" w:space="0"/>
              <w:right w:val="single" w:color="auto" w:sz="6" w:space="0"/>
            </w:tcBorders>
            <w:shd w:val="clear"/>
            <w:tcMar>
              <w:top w:w="15" w:type="dxa"/>
              <w:left w:w="15" w:type="dxa"/>
              <w:right w:w="15" w:type="dxa"/>
            </w:tcMar>
            <w:vAlign w:val="center"/>
          </w:tcPr>
          <w:p w14:paraId="02E971A9">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60" w:type="dxa"/>
            <w:tcBorders>
              <w:top w:val="single" w:color="auto" w:sz="6" w:space="0"/>
              <w:left w:val="single" w:color="auto" w:sz="6" w:space="0"/>
              <w:bottom w:val="single" w:color="auto" w:sz="12" w:space="0"/>
              <w:right w:val="single" w:color="auto" w:sz="6" w:space="0"/>
            </w:tcBorders>
            <w:shd w:val="clear"/>
            <w:tcMar>
              <w:top w:w="15" w:type="dxa"/>
              <w:left w:w="15" w:type="dxa"/>
              <w:right w:w="15" w:type="dxa"/>
            </w:tcMar>
            <w:vAlign w:val="center"/>
          </w:tcPr>
          <w:p w14:paraId="6ABF9929">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12" w:space="0"/>
              <w:right w:val="single" w:color="auto" w:sz="6" w:space="0"/>
            </w:tcBorders>
            <w:shd w:val="clear"/>
            <w:tcMar>
              <w:top w:w="15" w:type="dxa"/>
              <w:left w:w="15" w:type="dxa"/>
              <w:right w:w="15" w:type="dxa"/>
            </w:tcMar>
            <w:vAlign w:val="center"/>
          </w:tcPr>
          <w:p w14:paraId="6E06B4CE">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c>
          <w:tcPr>
            <w:tcW w:w="900" w:type="dxa"/>
            <w:tcBorders>
              <w:top w:val="single" w:color="auto" w:sz="6" w:space="0"/>
              <w:left w:val="single" w:color="auto" w:sz="6" w:space="0"/>
              <w:bottom w:val="single" w:color="auto" w:sz="12" w:space="0"/>
              <w:right w:val="single" w:color="auto" w:sz="6" w:space="0"/>
            </w:tcBorders>
            <w:shd w:val="clear"/>
            <w:tcMar>
              <w:top w:w="15" w:type="dxa"/>
              <w:left w:w="15" w:type="dxa"/>
              <w:right w:w="15" w:type="dxa"/>
            </w:tcMar>
            <w:vAlign w:val="center"/>
          </w:tcPr>
          <w:p w14:paraId="4C41318C">
            <w:pPr>
              <w:pStyle w:val="3"/>
              <w:keepNext w:val="0"/>
              <w:keepLines w:val="0"/>
              <w:widowControl/>
              <w:suppressLineNumbers w:val="0"/>
              <w:spacing w:line="285" w:lineRule="atLeast"/>
              <w:jc w:val="center"/>
            </w:pPr>
            <w:r>
              <w:rPr>
                <w:rFonts w:hint="eastAsia" w:ascii="仿宋_GB2312" w:eastAsia="仿宋_GB2312" w:cs="仿宋_GB2312"/>
                <w:sz w:val="21"/>
                <w:szCs w:val="21"/>
                <w:bdr w:val="none" w:color="auto" w:sz="0" w:space="0"/>
              </w:rPr>
              <w:t>完成省上下达任务</w:t>
            </w:r>
          </w:p>
        </w:tc>
        <w:tc>
          <w:tcPr>
            <w:tcW w:w="960" w:type="dxa"/>
            <w:tcBorders>
              <w:top w:val="single" w:color="auto" w:sz="6" w:space="0"/>
              <w:left w:val="single" w:color="auto" w:sz="6" w:space="0"/>
              <w:bottom w:val="single" w:color="auto" w:sz="12" w:space="0"/>
              <w:right w:val="single" w:color="auto" w:sz="12" w:space="0"/>
            </w:tcBorders>
            <w:shd w:val="clear"/>
            <w:tcMar>
              <w:top w:w="15" w:type="dxa"/>
              <w:left w:w="15" w:type="dxa"/>
              <w:right w:w="15" w:type="dxa"/>
            </w:tcMar>
            <w:vAlign w:val="center"/>
          </w:tcPr>
          <w:p w14:paraId="6524BD1A">
            <w:pPr>
              <w:pStyle w:val="3"/>
              <w:keepNext w:val="0"/>
              <w:keepLines w:val="0"/>
              <w:widowControl/>
              <w:suppressLineNumbers w:val="0"/>
              <w:spacing w:line="240" w:lineRule="atLeast"/>
              <w:jc w:val="center"/>
            </w:pPr>
            <w:r>
              <w:rPr>
                <w:rFonts w:hint="eastAsia" w:ascii="仿宋_GB2312" w:eastAsia="仿宋_GB2312" w:cs="仿宋_GB2312"/>
                <w:sz w:val="21"/>
                <w:szCs w:val="21"/>
                <w:bdr w:val="none" w:color="auto" w:sz="0" w:space="0"/>
              </w:rPr>
              <w:t>—</w:t>
            </w:r>
          </w:p>
        </w:tc>
      </w:tr>
    </w:tbl>
    <w:p w14:paraId="6FD82A6F">
      <w:pPr>
        <w:pStyle w:val="3"/>
        <w:keepNext w:val="0"/>
        <w:keepLines w:val="0"/>
        <w:widowControl/>
        <w:suppressLineNumbers w:val="0"/>
        <w:spacing w:line="180" w:lineRule="atLeast"/>
      </w:pPr>
    </w:p>
    <w:p w14:paraId="18FB82C0">
      <w:pPr>
        <w:pStyle w:val="3"/>
        <w:keepNext w:val="0"/>
        <w:keepLines w:val="0"/>
        <w:widowControl/>
        <w:suppressLineNumbers w:val="0"/>
        <w:ind w:left="0" w:firstLine="0"/>
      </w:pPr>
      <w:r>
        <w:t> </w:t>
      </w:r>
      <w:r>
        <w:rPr>
          <w:rFonts w:hint="eastAsia" w:ascii="仿宋_GB2312" w:eastAsia="仿宋_GB2312" w:cs="仿宋_GB2312"/>
          <w:sz w:val="24"/>
          <w:szCs w:val="24"/>
        </w:rPr>
        <w:t> 注：部分指标2025年完成情况和增长速度为预计数据。</w:t>
      </w:r>
    </w:p>
    <w:p w14:paraId="3571EF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513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2026-08-27T03:19:44Z</dcterms:created>
  <dc:creator>Administrator</dc:creator>
  <cp:lastModifiedBy>..O_o__簡單....^O^</cp:lastModifiedBy>
  <dcterms:modified xsi:type="dcterms:W3CDTF">2026-08-27T03:21:28Z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eyJoZGlkIjoiMGIwZjkxNTE2YWVmOWMxOWIyNDBhNTA4ZTJhNmJkNDMiLCJ1c2VySWQiOiIyMzMxMjkyOTYifQ==</vt:lpwstr>
  </property>
  <property fmtid="{D5CDD505-2E9C-101B-9397-08002B2CF9AE}" pid="4" name="ICV">
    <vt:lpwstr>D841035595CA4D3B9DE2C3E1BC70398D_12</vt:lpwstr>
  </property>
</Properties>
</file>