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宝市执法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签发人：王昭远</w:t>
      </w: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宝鸡市城市管理执法局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关于报送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法治政府建设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市政府：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十四五规划从开局之年迈向重要一年，“八五”普法进入实施重要一年。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今年以来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在市委、市政府的正确领导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下，宝鸡市城市管理执法局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以习近平新时代中国特色社会主义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思想为指导，以党的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二十大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精神为引领，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贯彻落实中、省、市关于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依法行政的各项工作要求，围绕宝鸡市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2023年度法治政府建设工作要点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认真履行工作职责，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通过“五个抓好”，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各项工作取得了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显著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成效。现将工作总结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一、强化组织领导，增强法治思维，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建设品质城管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（一）加强组织领导，扛起主体责任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成立了以局党组书记、局长为组长，党组成员、副局长为副组长、相关科室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局属各单位负责人为成员的全市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城管系统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法治建设工作领导小组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责任明晰、协调配合的法治工作机制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谋划制定法治建设工作任务，将法治建设贯穿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工作全过程。主要负责人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坚决扛起法治建设重大政治责任，</w:t>
      </w:r>
      <w:r>
        <w:rPr>
          <w:rFonts w:hint="eastAsia" w:ascii="仿宋_GB2312" w:hAnsi="宋体" w:eastAsia="仿宋_GB2312"/>
          <w:sz w:val="32"/>
          <w:szCs w:val="32"/>
        </w:rPr>
        <w:t>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城市管理执法业务工作</w:t>
      </w:r>
      <w:r>
        <w:rPr>
          <w:rFonts w:hint="eastAsia" w:ascii="仿宋_GB2312" w:hAnsi="宋体" w:eastAsia="仿宋_GB2312"/>
          <w:sz w:val="32"/>
          <w:szCs w:val="32"/>
        </w:rPr>
        <w:t>同谋划、同部署、同推进、同考核，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定期</w:t>
      </w:r>
      <w:r>
        <w:rPr>
          <w:rFonts w:hint="eastAsia" w:ascii="仿宋_GB2312" w:hAnsi="宋体" w:eastAsia="仿宋_GB2312"/>
          <w:sz w:val="32"/>
          <w:szCs w:val="32"/>
        </w:rPr>
        <w:t>听取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分管领导及职能科室、局属各单位依法行政工作汇报，积极研究解决城市管理执法领域法治建设重大问题和困难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（二）加强理论学习，增强法治思维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。始终把学习贯彻习近平法治思想作为一项长期政治任务，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采取党组中心组专题学法、党支部集中学法、单位主要负责人讲法治课等方式，</w:t>
      </w:r>
      <w:r>
        <w:rPr>
          <w:rFonts w:hint="eastAsia" w:ascii="仿宋_GB2312" w:hAnsi="宋体" w:eastAsia="仿宋_GB2312"/>
          <w:sz w:val="32"/>
          <w:szCs w:val="32"/>
        </w:rPr>
        <w:t>认真学习贯彻习近平法治思想，带头学法、知法、用法，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深刻领会其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重大意义、丰富内涵、精神实质和实践要求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提高运用法治思维和法治方式推动发展、破解难题的能力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以习近平法治思想武装头脑、指导实践，引领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法治建设工作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把习近平法治思想落实到普法工作全过程、各方面，纳入“八五”普法宣讲内容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推动习近平法治思想深入人心、落地生根。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（三）加强法治教育，营造良好环境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以能力提升为重点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，着力建设作风优良的执法队伍。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充分利用干部集中学习，组织全体干部认真学习《中华人民共和国宪法》《民法典》及党内法律法规，进一步增强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系统干部法治意识。今年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14个城管执法单位、1000余名执法队员（含协管）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参加了省住建厅组织的视频培训课程，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集中学习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党的二十大精神和《行政处罚法》。通过培训，提高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了城管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系统干部对依法行政的认识，增强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法制观念，提高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二、强化权力约束，全面依法行政，建设法治城管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-SA"/>
        </w:rPr>
        <w:t>（一）持续完善行政执法制度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完善制度建设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着力点，推进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地方法规立法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遵守行政决策规则和程序，全面执行重大决策合法性制度，确保重大行政决策权限合法、实体合法、程序合法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。围绕现代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法规体系，强化立法对行业改革发展的引领推动作用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，今年起草制定了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《宝鸡市城市市容环境管理条例》（草案稿），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现以政府名义报市人大常委会审议，并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下发了《关于进一步加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和规范中心城区房地产项目开发建设管理若干措施的通知》。修订制定了《建立城市管理执法非诉行政执行案件联动协作机制的指导意见》、《重大执法决定法制审核制度》、《重大行政决策合法性审查制度》，不断规范执法流程，推进公正执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-SA"/>
        </w:rPr>
        <w:t>（二）全面落实法律顾问制度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聘请法律顾问，积极参与各部门、各下属单位重大决策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严格落实重大决策程序。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项目合同文本、规范性文件起草制定，均开展律师审查，提供审查意见，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对专业性、技术性较强的重大事项决策，实行专家论证、咨询、决策评估制度。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完善行政处罚立案、审核、决定的程序，细化和规范行政处罚自由裁量权，制定了《重大行政执法决定法治审核制度》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《重大行政执法案件审理制度》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《规划执法办案制度》等，建立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案审会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，对重大执法案件进行会审研究。对作出的行政处罚决定，均由专门负责法制审核的工作人员进行审查把关。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《陕西省行政执法证件监督管理办法》规定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执法人员持证上岗和资格管理制度，坚持持证上岗，亮证执法，杜绝临时工、编外人员、协管人员从事城市管理执法工作。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-SA"/>
        </w:rPr>
        <w:t>（三）严格落实行政执法“三项制度”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推行行政执法公示制度。各县（区）通过建立以信息公示平台、门户网站公示专栏为主的多渠道执法信息公示载体，提高了行政执法的“能见度”和“透明度”。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落实执法全过程记录制度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通过规范文字记录、推行音像记录，特别是在容易发生争议的执法环节、执法场所实施全过程音像记录，既提高了严格规范公正文明执法水平，又减少了执法阻力和暴力抗法情况的发生。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执行重大执法决定法制审核制度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。通过明确法制审核主体、范围和内容，编制法制审核流程和重大执法决定目录清单，给执法人员划下了“标准”和“红线”，确保了重大执法决定合法，近两年无行政复议、行政诉讼案件。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三、强化执政为民，落实以人为本，建设亲民城管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4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-SA"/>
        </w:rPr>
        <w:t>（一）严格规范文明执法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。大力推行行政执法网格化管理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房地产执法领域专项整治、窨井盖设施、燃气、市政管网安全隐患排查、市政“三乱”工作。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420余次，检查在建项目110处、售楼场所58处，查封在建工地20处，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下发《停工通知书》1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1份，下发《责令改正通知书》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约谈29家项目负责人，整治和处理各类窨井设施2000多个，累计立案处罚案件91件（其中，规划、房地产69件，噪音、扬尘22件）。开展“执法纪律作风”大整顿活动，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着力解决执法人员不作为、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慢作为、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乱作为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、滥用职权、任性管理问题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4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-SA"/>
        </w:rPr>
        <w:t>（二）创新管理手段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32"/>
          <w:szCs w:val="32"/>
          <w:lang w:val="en-US" w:eastAsia="zh-CN" w:bidi="ar-SA"/>
        </w:rPr>
        <w:t>。加快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城市运行管理服务平台一期建设，现已正式上线运行；加大数字化案件办理，受理各类城市管理问题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157336件，结案率97.06%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；实施共享单车管理四项内控机制，重新施划市区单车停车位3600余处，清理取缔一批“美团”私自投放电动单车，共享单车管理成为街头靓丽风景；开发公厕电子地图，实行扫码找公厕，极大缓解了市民群众如厕难问题；创新工作举措，设置定点祭祀点位114处，建立了祭祀点位电子地图，引导培育市民文明、安全、有序的祭祀新风尚；建立“城管进社区、服务面对面”工作机制，设立“社区城管工作室”，全市35个社区开展服务群众活动，为群众办理各类便民服务2200多件。建立“数字化城管+交警+建设单位”机制，全天候管护景观护栏，实现事故及时发现、现场及时清理、护栏及时恢复、花卉及时补植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4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ar-SA"/>
        </w:rPr>
        <w:t>（三）坚持普法宣传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全面落实“谁执法谁普法、谁主管谁普法、谁服务谁普法”普法责任制，成立“八五”普法领导小组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城管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系统“八五”普法规划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29个法治宣传月、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15全民国家安全教育日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4宪法宣传日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等主题宣传活动，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门户网站、微信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等新媒体平台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、公园</w:t>
      </w:r>
      <w:r>
        <w:rPr>
          <w:rFonts w:hint="eastAsia" w:ascii="仿宋_GB2312" w:hAnsi="仿宋_GB2312" w:eastAsia="仿宋_GB2312" w:cs="仿宋_GB2312"/>
          <w:sz w:val="32"/>
          <w:szCs w:val="32"/>
        </w:rPr>
        <w:t>LED显示屏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张贴横幅、标语、发放宣传单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等多种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普法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宣传，广泛宣传国家安全法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《宪法》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《民法典》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《行政处罚法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》等法律知识，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“八五”普法宣传推进有力。今年共设置城市管理法律咨询点5处，组建法律顾问团1个、公职律师普法小组1个，开展普法宣传20余次，制作宣传展板10余块，发放宣传单1万余份。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开展房地产执法领域便民服务和“送法上门”普法宣传活动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进入建设工地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00余次，开展普法宣传服务，预防建设单位和施工单位违法施工、拖欠农民工工资等问题。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4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四、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存在的问题及下一步工作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4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2023年</w:t>
      </w:r>
      <w:r>
        <w:rPr>
          <w:rFonts w:hint="eastAsia" w:ascii="华文仿宋" w:hAnsi="华文仿宋" w:eastAsia="华文仿宋" w:cs="华文仿宋"/>
          <w:sz w:val="32"/>
          <w:szCs w:val="32"/>
        </w:rPr>
        <w:t>我局虽然做了一定的工作，但还存在着一些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问题：法治观念、法治意识仍需增强。行政执法队伍的业务水平和素质还需提高，个别干部遵法学法守法用法的意识不强，依法行政</w:t>
      </w:r>
      <w:r>
        <w:rPr>
          <w:rFonts w:hint="eastAsia" w:ascii="华文仿宋" w:hAnsi="华文仿宋" w:eastAsia="华文仿宋" w:cs="华文仿宋"/>
          <w:sz w:val="32"/>
          <w:szCs w:val="32"/>
        </w:rPr>
        <w:t>工作工作开展不平衡。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4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下一步，我们将全面总结工作经验和教训，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紧紧围绕法治建设的目标任务，进一步加大行政执法工作力度。</w:t>
      </w:r>
      <w:r>
        <w:rPr>
          <w:rFonts w:hint="eastAsia" w:ascii="华文仿宋" w:hAnsi="华文仿宋" w:eastAsia="华文仿宋" w:cs="华文仿宋"/>
          <w:sz w:val="32"/>
          <w:szCs w:val="32"/>
        </w:rPr>
        <w:t>一是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依法全面履行职能，深化行政执法制度改革；</w:t>
      </w:r>
      <w:r>
        <w:rPr>
          <w:rFonts w:hint="eastAsia" w:ascii="华文仿宋" w:hAnsi="华文仿宋" w:eastAsia="华文仿宋" w:cs="华文仿宋"/>
          <w:sz w:val="32"/>
          <w:szCs w:val="32"/>
        </w:rPr>
        <w:t>二是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完善依法行政制度体系建设，加强规范性文件的制定和管理；三是推进科学民主依法决策，严格履行重大决策制定程序；四是坚持严格规范公正文明执法，全面落实行政执法“三项制度”；五是依法预防和化解社会矛盾纠纷，加强行政复议工作；六是全面提高局系统领导干部依法行政能力，建立领导集体学法和干部法律培训长效机制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4"/>
        </w:pBdr>
        <w:tabs>
          <w:tab w:val="left" w:pos="73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宝鸡市城市管理执法局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2024年1月5日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抄送：宝鸡市委依法治市委员会办公室                     </w:t>
      </w:r>
    </w:p>
    <w:p/>
    <w:sectPr>
      <w:footerReference r:id="rId3" w:type="default"/>
      <w:pgSz w:w="11906" w:h="16838"/>
      <w:pgMar w:top="144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kxNTE2YWVmOWMxOWIyNDBhNTA4ZTJhNmJkNDMifQ=="/>
  </w:docVars>
  <w:rsids>
    <w:rsidRoot w:val="00000000"/>
    <w:rsid w:val="002F3265"/>
    <w:rsid w:val="32E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autoRedefine/>
    <w:unhideWhenUsed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2024-01-19T08:28:00Z</dcterms:created>
  <dc:creator>Administrator</dc:creator>
  <cp:lastModifiedBy>　   </cp:lastModifiedBy>
  <dcterms:modified xsi:type="dcterms:W3CDTF">2024-02-05T06:48:44Z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7A9EA95BD69F43C99E25DEBF306C2570_12</vt:lpwstr>
  </property>
</Properties>
</file>